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6 -->
  <w:body>
    <w:p w:rsidR="00CE5FBB" w14:paraId="5D6F6980" w14:textId="77777777">
      <w:pPr>
        <w:pStyle w:val="Title"/>
        <w:rPr>
          <w:rFonts w:cs="Arial"/>
          <w:color w:val="auto"/>
          <w:szCs w:val="24"/>
          <w:shd w:val="clear" w:color="auto" w:fill="auto"/>
        </w:rPr>
      </w:pPr>
      <w:r>
        <w:rPr>
          <w:rFonts w:cs="Arial"/>
          <w:szCs w:val="24"/>
        </w:rPr>
        <w:t>INDEX TO THE DIRECT TESTIMONY</w:t>
      </w:r>
    </w:p>
    <w:p w:rsidR="00CE5FBB" w14:paraId="162F4CA9" w14:textId="2880085F">
      <w:pPr>
        <w:spacing w:line="360" w:lineRule="auto"/>
        <w:jc w:val="center"/>
        <w:rPr>
          <w:rFonts w:cs="Arial"/>
          <w:b/>
          <w:color w:val="auto"/>
          <w:szCs w:val="24"/>
          <w:shd w:val="clear" w:color="auto" w:fill="auto"/>
        </w:rPr>
      </w:pPr>
      <w:r>
        <w:rPr>
          <w:rFonts w:cs="Arial"/>
          <w:b/>
          <w:szCs w:val="24"/>
        </w:rPr>
        <w:t>OF</w:t>
      </w:r>
      <w:r w:rsidR="001F1068">
        <w:rPr>
          <w:rFonts w:cs="Arial"/>
          <w:b/>
          <w:szCs w:val="24"/>
        </w:rPr>
        <w:t xml:space="preserve"> W. ALAN LEDBETTER</w:t>
      </w:r>
      <w:r>
        <w:rPr>
          <w:rFonts w:cs="Arial"/>
          <w:b/>
          <w:szCs w:val="24"/>
        </w:rPr>
        <w:t>, WITNESS FOR</w:t>
      </w:r>
    </w:p>
    <w:p w:rsidR="00CE5FBB" w14:paraId="2F9CBE38" w14:textId="77777777">
      <w:pPr>
        <w:spacing w:line="360" w:lineRule="auto"/>
        <w:jc w:val="center"/>
        <w:rPr>
          <w:rFonts w:cs="Arial"/>
          <w:b/>
          <w:color w:val="auto"/>
          <w:szCs w:val="24"/>
          <w:shd w:val="clear" w:color="auto" w:fill="auto"/>
        </w:rPr>
      </w:pPr>
      <w:r>
        <w:rPr>
          <w:rFonts w:cs="Arial"/>
          <w:b/>
          <w:szCs w:val="24"/>
          <w:u w:val="single"/>
        </w:rPr>
        <w:t>ONCOR ELECTRIC DELIVERY COMPANY LLC</w:t>
      </w:r>
    </w:p>
    <w:p w:rsidR="00CE5FBB" w14:paraId="2B3A477B" w14:textId="77777777">
      <w:pPr>
        <w:spacing w:line="360" w:lineRule="auto"/>
        <w:jc w:val="center"/>
        <w:rPr>
          <w:rFonts w:cs="Arial"/>
          <w:color w:val="auto"/>
          <w:szCs w:val="24"/>
          <w:shd w:val="clear" w:color="auto" w:fill="auto"/>
        </w:rPr>
      </w:pPr>
    </w:p>
    <w:p w:rsidR="00EE24B8" w14:paraId="75D50B0E" w14:textId="4EE91F17">
      <w:pPr>
        <w:pStyle w:val="TOC1"/>
        <w:rPr>
          <w:rFonts w:asciiTheme="minorHAnsi" w:eastAsiaTheme="minorEastAsia" w:hAnsiTheme="minorHAnsi" w:cstheme="minorBidi"/>
          <w:noProof/>
          <w:color w:val="auto"/>
          <w:sz w:val="22"/>
          <w:szCs w:val="22"/>
          <w:shd w:val="clear" w:color="auto" w:fill="auto"/>
        </w:rPr>
      </w:pPr>
      <w:r>
        <w:rPr>
          <w:szCs w:val="24"/>
        </w:rPr>
        <w:fldChar w:fldCharType="begin"/>
      </w:r>
      <w:r>
        <w:rPr>
          <w:szCs w:val="24"/>
        </w:rPr>
        <w:instrText xml:space="preserve"> TOC   \t "Heading 1,1, Heading 2,2" \x \* MERGEFORMAT </w:instrText>
      </w:r>
      <w:r>
        <w:rPr>
          <w:szCs w:val="24"/>
        </w:rPr>
        <w:fldChar w:fldCharType="separate"/>
      </w:r>
      <w:r w:rsidRPr="0046374F">
        <w:rPr>
          <w:noProof/>
          <w:color w:val="000000"/>
        </w:rPr>
        <w:t>I.</w:t>
      </w:r>
      <w:r>
        <w:rPr>
          <w:rFonts w:asciiTheme="minorHAnsi" w:eastAsiaTheme="minorEastAsia" w:hAnsiTheme="minorHAnsi" w:cstheme="minorBidi"/>
          <w:noProof/>
          <w:sz w:val="22"/>
          <w:szCs w:val="22"/>
        </w:rPr>
        <w:tab/>
      </w:r>
      <w:r>
        <w:rPr>
          <w:noProof/>
        </w:rPr>
        <w:t>POSITION AND QUALIFICATIONS</w:t>
      </w:r>
      <w:r w:rsidR="009F7F9C">
        <w:rPr>
          <w:noProof/>
        </w:rPr>
        <w:t xml:space="preserve"> </w:t>
      </w:r>
      <w:r>
        <w:rPr>
          <w:noProof/>
        </w:rPr>
        <w:tab/>
      </w:r>
      <w:r>
        <w:rPr>
          <w:noProof/>
        </w:rPr>
        <w:fldChar w:fldCharType="begin"/>
      </w:r>
      <w:r>
        <w:rPr>
          <w:noProof/>
        </w:rPr>
        <w:instrText xml:space="preserve"> PAGEREF _Toc429577228 \h </w:instrText>
      </w:r>
      <w:r>
        <w:rPr>
          <w:noProof/>
        </w:rPr>
        <w:fldChar w:fldCharType="separate"/>
      </w:r>
      <w:r w:rsidR="00CC51F2">
        <w:rPr>
          <w:noProof/>
        </w:rPr>
        <w:t>2</w:t>
      </w:r>
      <w:r>
        <w:rPr>
          <w:noProof/>
        </w:rPr>
        <w:fldChar w:fldCharType="end"/>
      </w:r>
    </w:p>
    <w:p w:rsidR="00EE24B8" w14:paraId="0915FBF8" w14:textId="3671E9D0">
      <w:pPr>
        <w:pStyle w:val="TOC1"/>
        <w:rPr>
          <w:rFonts w:asciiTheme="minorHAnsi" w:eastAsiaTheme="minorEastAsia" w:hAnsiTheme="minorHAnsi" w:cstheme="minorBidi"/>
          <w:noProof/>
          <w:color w:val="auto"/>
          <w:sz w:val="22"/>
          <w:szCs w:val="22"/>
          <w:shd w:val="clear" w:color="auto" w:fill="auto"/>
        </w:rPr>
      </w:pPr>
      <w:r w:rsidRPr="0046374F">
        <w:rPr>
          <w:noProof/>
          <w:color w:val="000000"/>
        </w:rPr>
        <w:t>II.</w:t>
      </w:r>
      <w:r>
        <w:rPr>
          <w:rFonts w:asciiTheme="minorHAnsi" w:eastAsiaTheme="minorEastAsia" w:hAnsiTheme="minorHAnsi" w:cstheme="minorBidi"/>
          <w:noProof/>
          <w:sz w:val="22"/>
          <w:szCs w:val="22"/>
        </w:rPr>
        <w:tab/>
      </w:r>
      <w:r w:rsidR="009F7F9C">
        <w:rPr>
          <w:noProof/>
        </w:rPr>
        <w:t>OVERVIEW AND P</w:t>
      </w:r>
      <w:r>
        <w:rPr>
          <w:noProof/>
        </w:rPr>
        <w:t>URPOSE OF</w:t>
      </w:r>
      <w:r w:rsidR="005E16F2">
        <w:rPr>
          <w:noProof/>
        </w:rPr>
        <w:t xml:space="preserve"> DIRECT</w:t>
      </w:r>
      <w:r>
        <w:rPr>
          <w:noProof/>
        </w:rPr>
        <w:t xml:space="preserve"> TESTIMONY</w:t>
      </w:r>
      <w:r w:rsidR="009F7F9C">
        <w:rPr>
          <w:noProof/>
        </w:rPr>
        <w:t xml:space="preserve"> </w:t>
      </w:r>
      <w:r>
        <w:rPr>
          <w:noProof/>
        </w:rPr>
        <w:tab/>
      </w:r>
      <w:r w:rsidR="00C12734">
        <w:rPr>
          <w:noProof/>
        </w:rPr>
        <w:t>3</w:t>
      </w:r>
    </w:p>
    <w:p w:rsidR="00EE24B8" w14:paraId="2B701184" w14:textId="49403105">
      <w:pPr>
        <w:pStyle w:val="TOC1"/>
        <w:rPr>
          <w:noProof/>
          <w:color w:val="auto"/>
          <w:shd w:val="clear" w:color="auto" w:fill="auto"/>
        </w:rPr>
      </w:pPr>
      <w:r w:rsidRPr="0046374F">
        <w:rPr>
          <w:noProof/>
          <w:color w:val="000000"/>
        </w:rPr>
        <w:t>III.</w:t>
      </w:r>
      <w:r>
        <w:rPr>
          <w:rFonts w:asciiTheme="minorHAnsi" w:eastAsiaTheme="minorEastAsia" w:hAnsiTheme="minorHAnsi" w:cstheme="minorBidi"/>
          <w:noProof/>
          <w:sz w:val="22"/>
          <w:szCs w:val="22"/>
        </w:rPr>
        <w:tab/>
      </w:r>
      <w:r w:rsidR="009F7F9C">
        <w:rPr>
          <w:noProof/>
        </w:rPr>
        <w:t>DCRF APPLICATION FILING REQUIREMENT</w:t>
      </w:r>
      <w:r w:rsidR="00D80C86">
        <w:rPr>
          <w:noProof/>
        </w:rPr>
        <w:t>S</w:t>
      </w:r>
      <w:r w:rsidR="009F7F9C">
        <w:rPr>
          <w:noProof/>
        </w:rPr>
        <w:t xml:space="preserve"> </w:t>
      </w:r>
      <w:r>
        <w:rPr>
          <w:noProof/>
        </w:rPr>
        <w:tab/>
      </w:r>
      <w:r w:rsidR="001507C8">
        <w:rPr>
          <w:noProof/>
        </w:rPr>
        <w:t>6</w:t>
      </w:r>
    </w:p>
    <w:p w:rsidR="00212107" w:rsidRPr="009F7F9C" w:rsidP="00212107" w14:paraId="5812B72C" w14:textId="6E403CD1">
      <w:pPr>
        <w:pStyle w:val="TOC2"/>
        <w:rPr>
          <w:noProof/>
          <w:color w:val="auto"/>
          <w:shd w:val="clear" w:color="auto" w:fill="auto"/>
        </w:rPr>
      </w:pPr>
      <w:r w:rsidRPr="0046374F">
        <w:rPr>
          <w:noProof/>
          <w:color w:val="000000"/>
        </w:rPr>
        <w:t>A.</w:t>
      </w:r>
      <w:r>
        <w:rPr>
          <w:rFonts w:asciiTheme="minorHAnsi" w:eastAsiaTheme="minorEastAsia" w:hAnsiTheme="minorHAnsi" w:cstheme="minorBidi"/>
          <w:noProof/>
          <w:sz w:val="22"/>
          <w:szCs w:val="22"/>
        </w:rPr>
        <w:tab/>
      </w:r>
      <w:r>
        <w:rPr>
          <w:rFonts w:eastAsiaTheme="minorEastAsia"/>
          <w:noProof/>
          <w:szCs w:val="24"/>
        </w:rPr>
        <w:t xml:space="preserve">General Instructions </w:t>
      </w:r>
      <w:r>
        <w:rPr>
          <w:noProof/>
        </w:rPr>
        <w:tab/>
      </w:r>
      <w:r w:rsidR="001507C8">
        <w:rPr>
          <w:noProof/>
        </w:rPr>
        <w:t>6</w:t>
      </w:r>
    </w:p>
    <w:p w:rsidR="00212107" w:rsidRPr="009F7F9C" w:rsidP="00624D89" w14:paraId="567E58ED" w14:textId="2820D8A4">
      <w:pPr>
        <w:pStyle w:val="TOC2"/>
        <w:rPr>
          <w:noProof/>
          <w:color w:val="auto"/>
          <w:shd w:val="clear" w:color="auto" w:fill="auto"/>
        </w:rPr>
      </w:pPr>
      <w:r>
        <w:rPr>
          <w:noProof/>
          <w:color w:val="000000"/>
        </w:rPr>
        <w:t>B</w:t>
      </w:r>
      <w:r w:rsidRPr="0046374F">
        <w:rPr>
          <w:noProof/>
          <w:color w:val="000000"/>
        </w:rPr>
        <w:t>.</w:t>
      </w:r>
      <w:r>
        <w:rPr>
          <w:rFonts w:asciiTheme="minorHAnsi" w:eastAsiaTheme="minorEastAsia" w:hAnsiTheme="minorHAnsi" w:cstheme="minorBidi"/>
          <w:noProof/>
          <w:sz w:val="22"/>
          <w:szCs w:val="22"/>
        </w:rPr>
        <w:tab/>
      </w:r>
      <w:r>
        <w:rPr>
          <w:noProof/>
        </w:rPr>
        <w:t xml:space="preserve">Rate of Return </w:t>
      </w:r>
      <w:r>
        <w:rPr>
          <w:noProof/>
        </w:rPr>
        <w:tab/>
      </w:r>
      <w:r w:rsidR="001507C8">
        <w:rPr>
          <w:noProof/>
        </w:rPr>
        <w:t>10</w:t>
      </w:r>
    </w:p>
    <w:p w:rsidR="00EE24B8" w14:paraId="055CC62E" w14:textId="1779BB50">
      <w:pPr>
        <w:pStyle w:val="TOC1"/>
        <w:rPr>
          <w:noProof/>
          <w:color w:val="auto"/>
          <w:shd w:val="clear" w:color="auto" w:fill="auto"/>
        </w:rPr>
      </w:pPr>
      <w:r w:rsidRPr="0046374F">
        <w:rPr>
          <w:noProof/>
          <w:color w:val="000000"/>
        </w:rPr>
        <w:t>IV.</w:t>
      </w:r>
      <w:r>
        <w:rPr>
          <w:rFonts w:asciiTheme="minorHAnsi" w:eastAsiaTheme="minorEastAsia" w:hAnsiTheme="minorHAnsi" w:cstheme="minorBidi"/>
          <w:noProof/>
          <w:sz w:val="22"/>
          <w:szCs w:val="22"/>
        </w:rPr>
        <w:tab/>
      </w:r>
      <w:r w:rsidR="009F7F9C">
        <w:rPr>
          <w:noProof/>
        </w:rPr>
        <w:t xml:space="preserve">DISTRIBUTION INVESTED CAPITAL SUMMARY </w:t>
      </w:r>
      <w:r>
        <w:rPr>
          <w:noProof/>
        </w:rPr>
        <w:tab/>
      </w:r>
      <w:r w:rsidR="001507C8">
        <w:rPr>
          <w:noProof/>
        </w:rPr>
        <w:t>11</w:t>
      </w:r>
    </w:p>
    <w:p w:rsidR="00212107" w:rsidRPr="009F7F9C" w:rsidP="00212107" w14:paraId="59FA5DB9" w14:textId="394248EB">
      <w:pPr>
        <w:pStyle w:val="TOC2"/>
        <w:rPr>
          <w:noProof/>
          <w:color w:val="auto"/>
          <w:shd w:val="clear" w:color="auto" w:fill="auto"/>
        </w:rPr>
      </w:pPr>
      <w:r w:rsidRPr="0046374F">
        <w:rPr>
          <w:noProof/>
          <w:color w:val="000000"/>
        </w:rPr>
        <w:t>A.</w:t>
      </w:r>
      <w:r>
        <w:rPr>
          <w:rFonts w:asciiTheme="minorHAnsi" w:eastAsiaTheme="minorEastAsia" w:hAnsiTheme="minorHAnsi" w:cstheme="minorBidi"/>
          <w:noProof/>
          <w:sz w:val="22"/>
          <w:szCs w:val="22"/>
        </w:rPr>
        <w:tab/>
      </w:r>
      <w:r w:rsidRPr="00212107">
        <w:rPr>
          <w:rFonts w:eastAsiaTheme="minorEastAsia"/>
          <w:noProof/>
          <w:szCs w:val="24"/>
        </w:rPr>
        <w:t xml:space="preserve">Components of Distribution Rate Base </w:t>
      </w:r>
      <w:r>
        <w:rPr>
          <w:noProof/>
        </w:rPr>
        <w:tab/>
        <w:t>1</w:t>
      </w:r>
      <w:r w:rsidR="001507C8">
        <w:rPr>
          <w:noProof/>
        </w:rPr>
        <w:t>2</w:t>
      </w:r>
    </w:p>
    <w:p w:rsidR="00CC61F9" w:rsidRPr="009F7F9C" w:rsidP="00CC61F9" w14:paraId="6455757D" w14:textId="7DA077EA">
      <w:pPr>
        <w:pStyle w:val="TOC2"/>
        <w:rPr>
          <w:noProof/>
          <w:color w:val="auto"/>
          <w:shd w:val="clear" w:color="auto" w:fill="auto"/>
        </w:rPr>
      </w:pPr>
      <w:r>
        <w:rPr>
          <w:noProof/>
          <w:color w:val="000000"/>
        </w:rPr>
        <w:t>B</w:t>
      </w:r>
      <w:r w:rsidRPr="0046374F">
        <w:rPr>
          <w:noProof/>
          <w:color w:val="000000"/>
        </w:rPr>
        <w:t>.</w:t>
      </w:r>
      <w:r>
        <w:rPr>
          <w:rFonts w:asciiTheme="minorHAnsi" w:eastAsiaTheme="minorEastAsia" w:hAnsiTheme="minorHAnsi" w:cstheme="minorBidi"/>
          <w:noProof/>
          <w:sz w:val="22"/>
          <w:szCs w:val="22"/>
        </w:rPr>
        <w:tab/>
      </w:r>
      <w:r>
        <w:rPr>
          <w:noProof/>
        </w:rPr>
        <w:t xml:space="preserve">Distribution Investment at Transmission Substations </w:t>
      </w:r>
      <w:r>
        <w:rPr>
          <w:noProof/>
        </w:rPr>
        <w:tab/>
        <w:t>1</w:t>
      </w:r>
      <w:r w:rsidR="001507C8">
        <w:rPr>
          <w:noProof/>
        </w:rPr>
        <w:t>6</w:t>
      </w:r>
    </w:p>
    <w:p w:rsidR="009F7F9C" w:rsidRPr="009F7F9C" w:rsidP="009F7F9C" w14:paraId="141EBD25" w14:textId="4F1966B4">
      <w:pPr>
        <w:pStyle w:val="TOC2"/>
        <w:rPr>
          <w:noProof/>
          <w:color w:val="auto"/>
          <w:shd w:val="clear" w:color="auto" w:fill="auto"/>
        </w:rPr>
      </w:pPr>
      <w:r>
        <w:rPr>
          <w:noProof/>
          <w:color w:val="000000"/>
        </w:rPr>
        <w:t>C</w:t>
      </w:r>
      <w:r w:rsidRPr="0046374F" w:rsidR="00EE24B8">
        <w:rPr>
          <w:noProof/>
          <w:color w:val="000000"/>
        </w:rPr>
        <w:t>.</w:t>
      </w:r>
      <w:r w:rsidR="00EE24B8">
        <w:rPr>
          <w:rFonts w:asciiTheme="minorHAnsi" w:eastAsiaTheme="minorEastAsia" w:hAnsiTheme="minorHAnsi" w:cstheme="minorBidi"/>
          <w:noProof/>
          <w:sz w:val="22"/>
          <w:szCs w:val="22"/>
        </w:rPr>
        <w:tab/>
      </w:r>
      <w:r>
        <w:rPr>
          <w:noProof/>
        </w:rPr>
        <w:t xml:space="preserve">Other Distribution and Distribution-Related Investment </w:t>
      </w:r>
      <w:r>
        <w:rPr>
          <w:noProof/>
        </w:rPr>
        <w:tab/>
      </w:r>
      <w:r w:rsidR="00212107">
        <w:rPr>
          <w:noProof/>
        </w:rPr>
        <w:t>1</w:t>
      </w:r>
      <w:r w:rsidR="001507C8">
        <w:rPr>
          <w:noProof/>
        </w:rPr>
        <w:t>7</w:t>
      </w:r>
    </w:p>
    <w:p w:rsidR="009F7F9C" w:rsidRPr="009F7F9C" w:rsidP="009F7F9C" w14:paraId="32E1C791" w14:textId="4DDDE1EF">
      <w:pPr>
        <w:pStyle w:val="TOC2"/>
        <w:rPr>
          <w:noProof/>
          <w:color w:val="auto"/>
          <w:shd w:val="clear" w:color="auto" w:fill="auto"/>
        </w:rPr>
      </w:pPr>
      <w:r>
        <w:rPr>
          <w:noProof/>
          <w:color w:val="000000"/>
        </w:rPr>
        <w:t>D</w:t>
      </w:r>
      <w:r w:rsidRPr="0046374F" w:rsidR="00EE24B8">
        <w:rPr>
          <w:noProof/>
          <w:color w:val="000000"/>
        </w:rPr>
        <w:t>.</w:t>
      </w:r>
      <w:r w:rsidR="00EE24B8">
        <w:rPr>
          <w:rFonts w:asciiTheme="minorHAnsi" w:eastAsiaTheme="minorEastAsia" w:hAnsiTheme="minorHAnsi" w:cstheme="minorBidi"/>
          <w:noProof/>
          <w:sz w:val="22"/>
          <w:szCs w:val="22"/>
        </w:rPr>
        <w:tab/>
      </w:r>
      <w:r>
        <w:rPr>
          <w:noProof/>
        </w:rPr>
        <w:t xml:space="preserve">Docket No. 53601 Adjustments </w:t>
      </w:r>
      <w:r w:rsidR="00EE24B8">
        <w:rPr>
          <w:noProof/>
        </w:rPr>
        <w:tab/>
      </w:r>
      <w:r w:rsidR="001507C8">
        <w:rPr>
          <w:noProof/>
        </w:rPr>
        <w:t>20</w:t>
      </w:r>
    </w:p>
    <w:p w:rsidR="00EE24B8" w14:paraId="6C94D63F" w14:textId="6CB57FE2">
      <w:pPr>
        <w:pStyle w:val="TOC1"/>
        <w:rPr>
          <w:noProof/>
          <w:color w:val="auto"/>
          <w:shd w:val="clear" w:color="auto" w:fill="auto"/>
        </w:rPr>
      </w:pPr>
      <w:r>
        <w:rPr>
          <w:noProof/>
          <w:color w:val="000000"/>
        </w:rPr>
        <w:t>V</w:t>
      </w:r>
      <w:r w:rsidRPr="0046374F" w:rsidR="00F06864">
        <w:rPr>
          <w:noProof/>
          <w:color w:val="000000"/>
        </w:rPr>
        <w:t>.</w:t>
      </w:r>
      <w:r w:rsidR="00F06864">
        <w:rPr>
          <w:rFonts w:asciiTheme="minorHAnsi" w:eastAsiaTheme="minorEastAsia" w:hAnsiTheme="minorHAnsi" w:cstheme="minorBidi"/>
          <w:noProof/>
          <w:sz w:val="22"/>
          <w:szCs w:val="22"/>
        </w:rPr>
        <w:tab/>
      </w:r>
      <w:r w:rsidR="00212107">
        <w:rPr>
          <w:noProof/>
          <w:snapToGrid w:val="0"/>
        </w:rPr>
        <w:t>DE</w:t>
      </w:r>
      <w:r w:rsidR="0044757B">
        <w:rPr>
          <w:noProof/>
          <w:snapToGrid w:val="0"/>
        </w:rPr>
        <w:t>P</w:t>
      </w:r>
      <w:r w:rsidR="00212107">
        <w:rPr>
          <w:noProof/>
          <w:snapToGrid w:val="0"/>
        </w:rPr>
        <w:t>R</w:t>
      </w:r>
      <w:r w:rsidR="0044757B">
        <w:rPr>
          <w:noProof/>
          <w:snapToGrid w:val="0"/>
        </w:rPr>
        <w:t>ECIATION AND AMORTIZA</w:t>
      </w:r>
      <w:r w:rsidR="004E6093">
        <w:rPr>
          <w:noProof/>
          <w:snapToGrid w:val="0"/>
        </w:rPr>
        <w:t>TIO</w:t>
      </w:r>
      <w:r w:rsidRPr="0046374F" w:rsidR="00F06864">
        <w:rPr>
          <w:noProof/>
          <w:snapToGrid w:val="0"/>
        </w:rPr>
        <w:t>N</w:t>
      </w:r>
      <w:r w:rsidR="004E6093">
        <w:rPr>
          <w:noProof/>
          <w:snapToGrid w:val="0"/>
        </w:rPr>
        <w:t xml:space="preserve"> </w:t>
      </w:r>
      <w:r w:rsidR="0044757B">
        <w:rPr>
          <w:noProof/>
          <w:snapToGrid w:val="0"/>
        </w:rPr>
        <w:t xml:space="preserve">FACTORS </w:t>
      </w:r>
      <w:r w:rsidR="00F06864">
        <w:rPr>
          <w:noProof/>
        </w:rPr>
        <w:tab/>
      </w:r>
      <w:r w:rsidR="00C612FA">
        <w:rPr>
          <w:noProof/>
        </w:rPr>
        <w:t>2</w:t>
      </w:r>
      <w:r w:rsidR="002F6822">
        <w:rPr>
          <w:noProof/>
        </w:rPr>
        <w:t>1</w:t>
      </w:r>
    </w:p>
    <w:p w:rsidR="00CC53E1" w:rsidP="00CC53E1" w14:paraId="6EE27A2A" w14:textId="115A8D63">
      <w:pPr>
        <w:pStyle w:val="TOC1"/>
        <w:rPr>
          <w:noProof/>
          <w:color w:val="auto"/>
          <w:shd w:val="clear" w:color="auto" w:fill="auto"/>
        </w:rPr>
      </w:pPr>
      <w:r>
        <w:rPr>
          <w:noProof/>
          <w:color w:val="000000"/>
        </w:rPr>
        <w:t>VI</w:t>
      </w:r>
      <w:r w:rsidRPr="0046374F">
        <w:rPr>
          <w:noProof/>
          <w:color w:val="000000"/>
        </w:rPr>
        <w:t>.</w:t>
      </w:r>
      <w:r>
        <w:rPr>
          <w:rFonts w:asciiTheme="minorHAnsi" w:eastAsiaTheme="minorEastAsia" w:hAnsiTheme="minorHAnsi" w:cstheme="minorBidi"/>
          <w:noProof/>
          <w:sz w:val="22"/>
          <w:szCs w:val="22"/>
        </w:rPr>
        <w:tab/>
      </w:r>
      <w:r>
        <w:rPr>
          <w:noProof/>
          <w:snapToGrid w:val="0"/>
        </w:rPr>
        <w:t>SUMMARY AND CONCLUSIO</w:t>
      </w:r>
      <w:r w:rsidRPr="0046374F">
        <w:rPr>
          <w:noProof/>
          <w:snapToGrid w:val="0"/>
        </w:rPr>
        <w:t>N</w:t>
      </w:r>
      <w:r>
        <w:rPr>
          <w:noProof/>
          <w:snapToGrid w:val="0"/>
        </w:rPr>
        <w:t xml:space="preserve"> </w:t>
      </w:r>
      <w:r>
        <w:rPr>
          <w:noProof/>
        </w:rPr>
        <w:tab/>
      </w:r>
      <w:r w:rsidR="00C612FA">
        <w:rPr>
          <w:noProof/>
        </w:rPr>
        <w:t>2</w:t>
      </w:r>
      <w:r w:rsidR="008D1DAD">
        <w:rPr>
          <w:noProof/>
        </w:rPr>
        <w:t>2</w:t>
      </w:r>
    </w:p>
    <w:p w:rsidR="00EE24B8" w14:paraId="24EC0FFF" w14:textId="2045B318">
      <w:pPr>
        <w:pStyle w:val="TOC1"/>
        <w:rPr>
          <w:rFonts w:asciiTheme="minorHAnsi" w:eastAsiaTheme="minorEastAsia" w:hAnsiTheme="minorHAnsi" w:cstheme="minorBidi"/>
          <w:noProof/>
          <w:color w:val="auto"/>
          <w:sz w:val="22"/>
          <w:szCs w:val="22"/>
          <w:shd w:val="clear" w:color="auto" w:fill="auto"/>
        </w:rPr>
      </w:pPr>
      <w:r>
        <w:rPr>
          <w:noProof/>
          <w:color w:val="000000"/>
        </w:rPr>
        <w:t>V</w:t>
      </w:r>
      <w:r w:rsidR="0044757B">
        <w:rPr>
          <w:noProof/>
          <w:color w:val="000000"/>
        </w:rPr>
        <w:t>I</w:t>
      </w:r>
      <w:r w:rsidR="00212107">
        <w:rPr>
          <w:noProof/>
          <w:color w:val="000000"/>
        </w:rPr>
        <w:t>I</w:t>
      </w:r>
      <w:r w:rsidRPr="0046374F">
        <w:rPr>
          <w:noProof/>
          <w:color w:val="000000"/>
        </w:rPr>
        <w:t>.</w:t>
      </w:r>
      <w:r>
        <w:rPr>
          <w:rFonts w:asciiTheme="minorHAnsi" w:eastAsiaTheme="minorEastAsia" w:hAnsiTheme="minorHAnsi" w:cstheme="minorBidi"/>
          <w:noProof/>
          <w:sz w:val="22"/>
          <w:szCs w:val="22"/>
        </w:rPr>
        <w:tab/>
      </w:r>
      <w:r>
        <w:rPr>
          <w:noProof/>
        </w:rPr>
        <w:t>AFFIDAVIT</w:t>
      </w:r>
      <w:r>
        <w:rPr>
          <w:noProof/>
        </w:rPr>
        <w:tab/>
      </w:r>
      <w:r w:rsidR="00C612FA">
        <w:rPr>
          <w:noProof/>
        </w:rPr>
        <w:t>2</w:t>
      </w:r>
      <w:r w:rsidR="00CD3D98">
        <w:rPr>
          <w:noProof/>
        </w:rPr>
        <w:t>3</w:t>
      </w:r>
    </w:p>
    <w:p w:rsidR="00CE5FBB" w:rsidP="0044757B" w14:paraId="0F2E6CB3" w14:textId="68028449">
      <w:pPr>
        <w:tabs>
          <w:tab w:val="left" w:pos="720"/>
          <w:tab w:val="right" w:leader="dot" w:pos="8640"/>
        </w:tabs>
        <w:spacing w:line="360" w:lineRule="auto"/>
        <w:rPr>
          <w:rFonts w:cs="Arial"/>
          <w:color w:val="auto"/>
          <w:szCs w:val="24"/>
          <w:shd w:val="clear" w:color="auto" w:fill="auto"/>
        </w:rPr>
      </w:pPr>
      <w:r>
        <w:rPr>
          <w:rFonts w:cs="Arial"/>
          <w:szCs w:val="24"/>
        </w:rPr>
        <w:fldChar w:fldCharType="end"/>
      </w:r>
      <w:r w:rsidR="0093567C">
        <w:rPr>
          <w:rFonts w:cs="Arial"/>
          <w:szCs w:val="24"/>
        </w:rPr>
        <w:t>V</w:t>
      </w:r>
      <w:r w:rsidR="00212107">
        <w:rPr>
          <w:rFonts w:cs="Arial"/>
          <w:szCs w:val="24"/>
        </w:rPr>
        <w:t>I</w:t>
      </w:r>
      <w:r w:rsidR="0093567C">
        <w:rPr>
          <w:rFonts w:cs="Arial"/>
          <w:szCs w:val="24"/>
        </w:rPr>
        <w:t>II</w:t>
      </w:r>
      <w:r w:rsidR="00D80C86">
        <w:rPr>
          <w:rFonts w:cs="Arial"/>
          <w:szCs w:val="24"/>
        </w:rPr>
        <w:t>.</w:t>
      </w:r>
      <w:r w:rsidR="00D80C86">
        <w:rPr>
          <w:rFonts w:cs="Arial"/>
          <w:szCs w:val="24"/>
        </w:rPr>
        <w:tab/>
        <w:t>EXHIBITS</w:t>
      </w:r>
      <w:r w:rsidR="0044757B">
        <w:rPr>
          <w:rFonts w:cs="Arial"/>
          <w:szCs w:val="24"/>
        </w:rPr>
        <w:t>:</w:t>
      </w:r>
    </w:p>
    <w:p w:rsidR="00CE5FBB" w:rsidP="0044757B" w14:paraId="1ED31AE7" w14:textId="293C1EDB">
      <w:pPr>
        <w:spacing w:line="360" w:lineRule="auto"/>
        <w:rPr>
          <w:rFonts w:cs="Arial"/>
          <w:color w:val="auto"/>
          <w:szCs w:val="24"/>
          <w:shd w:val="clear" w:color="auto" w:fill="auto"/>
        </w:rPr>
      </w:pPr>
      <w:r>
        <w:rPr>
          <w:rFonts w:cs="Arial"/>
          <w:szCs w:val="24"/>
        </w:rPr>
        <w:tab/>
        <w:t xml:space="preserve">Exhibit </w:t>
      </w:r>
      <w:r w:rsidR="001F1068">
        <w:rPr>
          <w:rFonts w:cs="Arial"/>
          <w:szCs w:val="24"/>
        </w:rPr>
        <w:t>WAL</w:t>
      </w:r>
      <w:r>
        <w:rPr>
          <w:rFonts w:cs="Arial"/>
          <w:szCs w:val="24"/>
        </w:rPr>
        <w:t>-1</w:t>
      </w:r>
      <w:r>
        <w:rPr>
          <w:rFonts w:cs="Arial"/>
          <w:szCs w:val="24"/>
        </w:rPr>
        <w:tab/>
      </w:r>
      <w:r w:rsidR="001F1068">
        <w:rPr>
          <w:rFonts w:cs="Arial"/>
          <w:szCs w:val="24"/>
        </w:rPr>
        <w:t>DCRF Update Comparison</w:t>
      </w:r>
    </w:p>
    <w:p w:rsidR="00CE5FBB" w:rsidP="0044757B" w14:paraId="23BBDF59" w14:textId="1DD0F737">
      <w:pPr>
        <w:spacing w:line="360" w:lineRule="auto"/>
        <w:rPr>
          <w:rFonts w:cs="Arial"/>
          <w:color w:val="auto"/>
          <w:szCs w:val="24"/>
          <w:shd w:val="clear" w:color="auto" w:fill="auto"/>
        </w:rPr>
      </w:pPr>
      <w:r>
        <w:rPr>
          <w:rFonts w:cs="Arial"/>
          <w:szCs w:val="24"/>
        </w:rPr>
        <w:tab/>
        <w:t xml:space="preserve">Exhibit </w:t>
      </w:r>
      <w:r w:rsidR="001F1068">
        <w:rPr>
          <w:rFonts w:cs="Arial"/>
          <w:szCs w:val="24"/>
        </w:rPr>
        <w:t>WA</w:t>
      </w:r>
      <w:r>
        <w:rPr>
          <w:rFonts w:cs="Arial"/>
          <w:szCs w:val="24"/>
        </w:rPr>
        <w:t>L</w:t>
      </w:r>
      <w:r w:rsidR="0060655C">
        <w:rPr>
          <w:rFonts w:cs="Arial"/>
          <w:szCs w:val="24"/>
        </w:rPr>
        <w:t>-2</w:t>
      </w:r>
      <w:r w:rsidR="0060655C">
        <w:rPr>
          <w:rFonts w:cs="Arial"/>
          <w:szCs w:val="24"/>
        </w:rPr>
        <w:tab/>
      </w:r>
      <w:r w:rsidR="009F7F9C">
        <w:rPr>
          <w:rFonts w:cs="Arial"/>
          <w:szCs w:val="24"/>
        </w:rPr>
        <w:t>DCRF Plant Accounts Shared with T</w:t>
      </w:r>
      <w:r w:rsidR="00B05B8E">
        <w:rPr>
          <w:rFonts w:cs="Arial"/>
          <w:szCs w:val="24"/>
        </w:rPr>
        <w:t>ransmission</w:t>
      </w:r>
    </w:p>
    <w:p w:rsidR="009F7F9C" w:rsidP="0044757B" w14:paraId="69186F25" w14:textId="6F46BEEB">
      <w:pPr>
        <w:spacing w:line="360" w:lineRule="auto"/>
        <w:rPr>
          <w:rFonts w:cs="Arial"/>
          <w:color w:val="auto"/>
          <w:szCs w:val="24"/>
          <w:shd w:val="clear" w:color="auto" w:fill="auto"/>
        </w:rPr>
      </w:pPr>
      <w:r>
        <w:rPr>
          <w:rFonts w:cs="Arial"/>
          <w:szCs w:val="24"/>
        </w:rPr>
        <w:tab/>
        <w:t>Exhibit WAL-3</w:t>
      </w:r>
      <w:r>
        <w:rPr>
          <w:rFonts w:cs="Arial"/>
          <w:szCs w:val="24"/>
        </w:rPr>
        <w:tab/>
        <w:t>Distribution Plant – Computer Equipment</w:t>
      </w:r>
    </w:p>
    <w:p w:rsidR="009F7F9C" w:rsidP="0044757B" w14:paraId="08173C87" w14:textId="64EC4BE7">
      <w:pPr>
        <w:spacing w:line="360" w:lineRule="auto"/>
        <w:rPr>
          <w:rFonts w:cs="Arial"/>
          <w:color w:val="auto"/>
          <w:szCs w:val="24"/>
          <w:shd w:val="clear" w:color="auto" w:fill="auto"/>
        </w:rPr>
      </w:pPr>
      <w:r>
        <w:rPr>
          <w:rFonts w:cs="Arial"/>
          <w:szCs w:val="24"/>
        </w:rPr>
        <w:tab/>
        <w:t>Exhibit WAL-4</w:t>
      </w:r>
      <w:r>
        <w:rPr>
          <w:rFonts w:cs="Arial"/>
          <w:szCs w:val="24"/>
        </w:rPr>
        <w:tab/>
        <w:t>Distribution Plant – Intangible</w:t>
      </w:r>
    </w:p>
    <w:p w:rsidR="009F7F9C" w:rsidP="0044757B" w14:paraId="6D7A4DAB" w14:textId="38501645">
      <w:pPr>
        <w:spacing w:line="360" w:lineRule="auto"/>
        <w:rPr>
          <w:rFonts w:cs="Arial"/>
          <w:color w:val="auto"/>
          <w:szCs w:val="24"/>
          <w:shd w:val="clear" w:color="auto" w:fill="auto"/>
        </w:rPr>
      </w:pPr>
      <w:r>
        <w:rPr>
          <w:rFonts w:cs="Arial"/>
          <w:szCs w:val="24"/>
        </w:rPr>
        <w:tab/>
        <w:t>Exhibit WAL-5</w:t>
      </w:r>
      <w:r>
        <w:rPr>
          <w:rFonts w:cs="Arial"/>
          <w:szCs w:val="24"/>
        </w:rPr>
        <w:tab/>
      </w:r>
      <w:r w:rsidR="00B05B8E">
        <w:rPr>
          <w:rFonts w:cs="Arial"/>
          <w:szCs w:val="24"/>
        </w:rPr>
        <w:t>C</w:t>
      </w:r>
      <w:r>
        <w:rPr>
          <w:rFonts w:cs="Arial"/>
          <w:szCs w:val="24"/>
        </w:rPr>
        <w:t>ommunications Equipment</w:t>
      </w:r>
    </w:p>
    <w:p w:rsidR="009F7F9C" w:rsidP="0044757B" w14:paraId="08AC813B" w14:textId="7DE4CC07">
      <w:pPr>
        <w:spacing w:line="360" w:lineRule="auto"/>
        <w:rPr>
          <w:rFonts w:cs="Arial"/>
          <w:color w:val="auto"/>
          <w:szCs w:val="24"/>
          <w:shd w:val="clear" w:color="auto" w:fill="auto"/>
        </w:rPr>
      </w:pPr>
      <w:r>
        <w:rPr>
          <w:rFonts w:cs="Arial"/>
          <w:szCs w:val="24"/>
        </w:rPr>
        <w:tab/>
        <w:t>Exhibit WAL-6</w:t>
      </w:r>
      <w:r>
        <w:rPr>
          <w:rFonts w:cs="Arial"/>
          <w:szCs w:val="24"/>
        </w:rPr>
        <w:tab/>
        <w:t>Listing of Sponsored DCRF Application Workpapers</w:t>
      </w:r>
    </w:p>
    <w:p w:rsidR="00CE5FBB" w14:paraId="79741220" w14:textId="77777777">
      <w:pPr>
        <w:jc w:val="both"/>
        <w:rPr>
          <w:rFonts w:cs="Arial"/>
          <w:color w:val="auto"/>
          <w:szCs w:val="24"/>
          <w:shd w:val="clear" w:color="auto" w:fill="auto"/>
        </w:rPr>
      </w:pPr>
    </w:p>
    <w:p w:rsidR="00CE5FBB" w14:paraId="74E849B0" w14:textId="77777777">
      <w:pPr>
        <w:rPr>
          <w:rFonts w:cs="Arial"/>
          <w:color w:val="auto"/>
          <w:szCs w:val="24"/>
          <w:shd w:val="clear" w:color="auto" w:fill="auto"/>
        </w:rPr>
      </w:pPr>
    </w:p>
    <w:p w:rsidR="00CE5FBB" w14:paraId="0E5FCCB7" w14:textId="77777777">
      <w:pPr>
        <w:spacing w:line="360" w:lineRule="auto"/>
        <w:ind w:left="-120"/>
        <w:rPr>
          <w:rFonts w:cs="Arial"/>
          <w:color w:val="auto"/>
          <w:szCs w:val="24"/>
          <w:shd w:val="clear" w:color="auto" w:fill="auto"/>
        </w:rPr>
        <w:sectPr w:rsidSect="00457177">
          <w:footerReference w:type="even" r:id="rId5"/>
          <w:footerReference w:type="default" r:id="rId6"/>
          <w:pgSz w:w="12240" w:h="15840" w:code="1"/>
          <w:pgMar w:top="1440" w:right="1350" w:bottom="1440" w:left="2160" w:header="720" w:footer="720" w:gutter="0"/>
          <w:pgNumType w:start="1"/>
          <w:cols w:space="720"/>
          <w:docGrid w:linePitch="326"/>
        </w:sectPr>
      </w:pPr>
    </w:p>
    <w:p w:rsidR="00C12734" w:rsidP="00C12734" w14:paraId="26EEE3A1" w14:textId="77777777">
      <w:pPr>
        <w:pStyle w:val="Title"/>
        <w:ind w:left="720"/>
        <w:rPr>
          <w:rFonts w:cs="Arial"/>
          <w:color w:val="000000"/>
          <w:szCs w:val="24"/>
          <w:u w:val="single"/>
          <w:shd w:val="clear" w:color="auto" w:fill="auto"/>
        </w:rPr>
      </w:pPr>
      <w:r>
        <w:rPr>
          <w:rFonts w:cs="Arial"/>
          <w:szCs w:val="24"/>
          <w:u w:val="single"/>
        </w:rPr>
        <w:t xml:space="preserve">DIRECT TESTIMONY </w:t>
      </w:r>
      <w:r>
        <w:rPr>
          <w:rFonts w:cs="Arial"/>
          <w:color w:val="000000"/>
          <w:szCs w:val="24"/>
          <w:u w:val="single"/>
        </w:rPr>
        <w:t xml:space="preserve">OF </w:t>
      </w:r>
      <w:r w:rsidR="009F7F9C">
        <w:rPr>
          <w:rFonts w:cs="Arial"/>
          <w:color w:val="000000"/>
          <w:szCs w:val="24"/>
          <w:u w:val="single"/>
        </w:rPr>
        <w:t>W. ALAN LEDBETTER</w:t>
      </w:r>
      <w:bookmarkStart w:id="0" w:name="_Toc429577228"/>
    </w:p>
    <w:p w:rsidR="00CE5FBB" w:rsidRPr="00C12734" w:rsidP="00C12734" w14:paraId="277F11A8" w14:textId="2562AC79">
      <w:pPr>
        <w:pStyle w:val="Title"/>
        <w:ind w:left="720"/>
        <w:rPr>
          <w:rFonts w:cs="Arial"/>
          <w:color w:val="auto"/>
          <w:szCs w:val="24"/>
          <w:u w:val="single"/>
          <w:shd w:val="clear" w:color="auto" w:fill="auto"/>
        </w:rPr>
      </w:pPr>
      <w:r w:rsidRPr="00C12734">
        <w:rPr>
          <w:rFonts w:cs="Arial"/>
          <w:szCs w:val="24"/>
        </w:rPr>
        <w:t xml:space="preserve">I.  </w:t>
      </w:r>
      <w:r w:rsidRPr="00C12734" w:rsidR="0060655C">
        <w:rPr>
          <w:szCs w:val="24"/>
          <w:u w:val="single"/>
        </w:rPr>
        <w:t>POSITION AND QUALIFICATIONS</w:t>
      </w:r>
      <w:bookmarkEnd w:id="0"/>
    </w:p>
    <w:p w:rsidR="00CE5FBB" w14:paraId="50D51D17" w14:textId="77777777">
      <w:pPr>
        <w:pStyle w:val="BodyTxtInd315"/>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s>
        <w:rPr>
          <w:rFonts w:cs="Arial"/>
          <w:color w:val="auto"/>
          <w:szCs w:val="24"/>
          <w:shd w:val="clear" w:color="auto" w:fill="auto"/>
        </w:rPr>
      </w:pPr>
      <w:r>
        <w:rPr>
          <w:rFonts w:cs="Arial"/>
          <w:szCs w:val="24"/>
        </w:rPr>
        <w:t>Q.</w:t>
      </w:r>
      <w:r>
        <w:rPr>
          <w:rFonts w:cs="Arial"/>
          <w:szCs w:val="24"/>
        </w:rPr>
        <w:tab/>
        <w:t>PLEASE STATE YOUR NAME, BUSINESS ADDRESS, AND CURRENT EMPLOYMENT POSITION.</w:t>
      </w:r>
    </w:p>
    <w:p w:rsidR="00D80C86" w14:paraId="1AC9EB00" w14:textId="1E74445D">
      <w:pPr>
        <w:pStyle w:val="BodyTxtInd315"/>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s>
        <w:rPr>
          <w:rFonts w:cs="Arial"/>
          <w:color w:val="auto"/>
          <w:szCs w:val="24"/>
          <w:shd w:val="clear" w:color="auto" w:fill="auto"/>
        </w:rPr>
      </w:pPr>
      <w:r>
        <w:rPr>
          <w:rFonts w:cs="Arial"/>
          <w:szCs w:val="24"/>
        </w:rPr>
        <w:t>A.</w:t>
      </w:r>
      <w:r>
        <w:rPr>
          <w:rFonts w:cs="Arial"/>
          <w:szCs w:val="24"/>
        </w:rPr>
        <w:tab/>
        <w:t xml:space="preserve">My name is </w:t>
      </w:r>
      <w:r w:rsidR="00B146FA">
        <w:rPr>
          <w:rFonts w:cs="Arial"/>
          <w:szCs w:val="24"/>
        </w:rPr>
        <w:t>W. Alan Ledbetter</w:t>
      </w:r>
      <w:r>
        <w:rPr>
          <w:rFonts w:cs="Arial"/>
          <w:szCs w:val="24"/>
        </w:rPr>
        <w:t xml:space="preserve">.  My business address is </w:t>
      </w:r>
      <w:r w:rsidR="00B146FA">
        <w:rPr>
          <w:rFonts w:cs="Arial"/>
          <w:szCs w:val="24"/>
        </w:rPr>
        <w:t>1616 Woodall Rodgers Freeway, Dallas, Texas 75202</w:t>
      </w:r>
      <w:r>
        <w:rPr>
          <w:rFonts w:cs="Arial"/>
          <w:szCs w:val="24"/>
        </w:rPr>
        <w:t>.</w:t>
      </w:r>
      <w:r w:rsidR="00B146FA">
        <w:rPr>
          <w:rFonts w:cs="Arial"/>
          <w:szCs w:val="24"/>
        </w:rPr>
        <w:t xml:space="preserve">  I am Vice President and Controller of Oncor Electric Delivery Company LLC (“Oncor” or “the Company”).</w:t>
      </w:r>
      <w:r>
        <w:rPr>
          <w:rFonts w:cs="Arial"/>
          <w:szCs w:val="24"/>
        </w:rPr>
        <w:t xml:space="preserve">  </w:t>
      </w:r>
    </w:p>
    <w:p w:rsidR="00CE5FBB" w14:paraId="4F492B34" w14:textId="6702C760">
      <w:pPr>
        <w:pStyle w:val="BodyTxtInd315"/>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s>
        <w:rPr>
          <w:rFonts w:cs="Arial"/>
          <w:color w:val="auto"/>
          <w:szCs w:val="24"/>
          <w:shd w:val="clear" w:color="auto" w:fill="auto"/>
        </w:rPr>
      </w:pPr>
      <w:r>
        <w:rPr>
          <w:rFonts w:cs="Arial"/>
          <w:szCs w:val="24"/>
        </w:rPr>
        <w:t>Q.</w:t>
      </w:r>
      <w:r>
        <w:rPr>
          <w:rFonts w:cs="Arial"/>
          <w:szCs w:val="24"/>
        </w:rPr>
        <w:tab/>
        <w:t>PLEASE DESCRIBE YOUR EDUCATIONAL BACKGROUND AND</w:t>
      </w:r>
      <w:r w:rsidR="002138E2">
        <w:rPr>
          <w:rFonts w:cs="Arial"/>
          <w:szCs w:val="24"/>
        </w:rPr>
        <w:t xml:space="preserve"> RECENT</w:t>
      </w:r>
      <w:r>
        <w:rPr>
          <w:rFonts w:cs="Arial"/>
          <w:szCs w:val="24"/>
        </w:rPr>
        <w:t xml:space="preserve"> PROFESSIONAL EXPERIENCE.</w:t>
      </w:r>
    </w:p>
    <w:p w:rsidR="00D80C86" w:rsidP="00D80C86" w14:paraId="450B3951" w14:textId="13AC376B">
      <w:pPr>
        <w:pStyle w:val="BodyTxtInd315"/>
        <w:rPr>
          <w:rFonts w:cs="Arial"/>
          <w:color w:val="auto"/>
          <w:szCs w:val="24"/>
          <w:shd w:val="clear" w:color="auto" w:fill="auto"/>
        </w:rPr>
      </w:pPr>
      <w:r>
        <w:rPr>
          <w:rFonts w:cs="Arial"/>
          <w:szCs w:val="24"/>
        </w:rPr>
        <w:t>A.</w:t>
      </w:r>
      <w:r>
        <w:rPr>
          <w:rFonts w:cs="Arial"/>
          <w:szCs w:val="24"/>
        </w:rPr>
        <w:tab/>
      </w:r>
      <w:r w:rsidR="002138E2">
        <w:rPr>
          <w:rFonts w:cs="Arial"/>
          <w:szCs w:val="24"/>
        </w:rPr>
        <w:t xml:space="preserve">I hold a Bachelor’s degree in Business Administration – Accounting from the University of Texas at Arlington and Master of Business Administration degree, with a minor in Finance, from Texas A&amp;M University-Commerce.  I have been employed in a variety of accounting, finance, and regulatory roles at Oncor and affiliated companies for </w:t>
      </w:r>
      <w:r w:rsidR="00EF4897">
        <w:rPr>
          <w:rFonts w:cs="Arial"/>
          <w:szCs w:val="24"/>
        </w:rPr>
        <w:t xml:space="preserve">more than </w:t>
      </w:r>
      <w:r w:rsidR="002138E2">
        <w:rPr>
          <w:rFonts w:cs="Arial"/>
          <w:szCs w:val="24"/>
        </w:rPr>
        <w:t>42 years.  During the past decade, I have served as Oncor’s Director, Planning and Economic Analysis and</w:t>
      </w:r>
      <w:r w:rsidR="00CD75F2">
        <w:rPr>
          <w:rFonts w:cs="Arial"/>
          <w:szCs w:val="24"/>
        </w:rPr>
        <w:t xml:space="preserve"> the Company’s</w:t>
      </w:r>
      <w:r w:rsidR="002138E2">
        <w:rPr>
          <w:rFonts w:cs="Arial"/>
          <w:szCs w:val="24"/>
        </w:rPr>
        <w:t xml:space="preserve"> Assistant Controller.  In September 2021, I was named to my current role as the Oncor Vice President and Controller.</w:t>
      </w:r>
    </w:p>
    <w:p w:rsidR="002138E2" w:rsidP="00D80C86" w14:paraId="650D3AAF" w14:textId="0E7C8236">
      <w:pPr>
        <w:pStyle w:val="BodyTxtInd315"/>
        <w:rPr>
          <w:rFonts w:cs="Arial"/>
          <w:color w:val="auto"/>
          <w:szCs w:val="24"/>
          <w:shd w:val="clear" w:color="auto" w:fill="auto"/>
        </w:rPr>
      </w:pPr>
      <w:r>
        <w:rPr>
          <w:rFonts w:cs="Arial"/>
          <w:szCs w:val="24"/>
        </w:rPr>
        <w:t>Q.</w:t>
      </w:r>
      <w:r>
        <w:rPr>
          <w:rFonts w:cs="Arial"/>
          <w:szCs w:val="24"/>
        </w:rPr>
        <w:tab/>
        <w:t>DO YOU HOLD ANY PROFESSIONAL CERTIFICATIONS OR MEMBERSHIPS?</w:t>
      </w:r>
    </w:p>
    <w:p w:rsidR="002138E2" w:rsidP="00D80C86" w14:paraId="617B664F" w14:textId="7F2D419F">
      <w:pPr>
        <w:pStyle w:val="BodyTxtInd315"/>
        <w:rPr>
          <w:rFonts w:cs="Arial"/>
          <w:color w:val="auto"/>
          <w:szCs w:val="24"/>
          <w:shd w:val="clear" w:color="auto" w:fill="auto"/>
        </w:rPr>
      </w:pPr>
      <w:r>
        <w:rPr>
          <w:rFonts w:cs="Arial"/>
          <w:szCs w:val="24"/>
        </w:rPr>
        <w:t>A.</w:t>
      </w:r>
      <w:r>
        <w:rPr>
          <w:rFonts w:cs="Arial"/>
          <w:szCs w:val="24"/>
        </w:rPr>
        <w:tab/>
        <w:t>Yes.  I am licensed as a Certified Public Accountant in the State of Texas and also hold the Chartered Global Management Accountant designation through my membership in the American Institute of Certified Public Accountants.</w:t>
      </w:r>
    </w:p>
    <w:p w:rsidR="00CE5FBB" w14:paraId="5AA2A095" w14:textId="7EABC3F4">
      <w:pPr>
        <w:pStyle w:val="BodyTxtInd315"/>
        <w:rPr>
          <w:rFonts w:cs="Arial"/>
          <w:color w:val="auto"/>
          <w:szCs w:val="24"/>
          <w:shd w:val="clear" w:color="auto" w:fill="auto"/>
        </w:rPr>
      </w:pPr>
      <w:r>
        <w:rPr>
          <w:rFonts w:cs="Arial"/>
          <w:szCs w:val="24"/>
        </w:rPr>
        <w:t>Q.</w:t>
      </w:r>
      <w:r>
        <w:rPr>
          <w:rFonts w:cs="Arial"/>
          <w:szCs w:val="24"/>
        </w:rPr>
        <w:tab/>
        <w:t>HAVE YOU EVER SUBMITTED TESTIMONY BEFORE THE PUBLIC UTILITY COMMISSION OF TEXAS (“COMMISSION”)</w:t>
      </w:r>
      <w:r w:rsidR="00D8184B">
        <w:rPr>
          <w:rFonts w:cs="Arial"/>
          <w:szCs w:val="24"/>
        </w:rPr>
        <w:t xml:space="preserve"> OR OTHER REGULATORY AUTHORITIES</w:t>
      </w:r>
      <w:r>
        <w:rPr>
          <w:rFonts w:cs="Arial"/>
          <w:szCs w:val="24"/>
        </w:rPr>
        <w:t>?</w:t>
      </w:r>
    </w:p>
    <w:p w:rsidR="00CE5FBB" w14:paraId="2BF74AE6" w14:textId="7926E56F">
      <w:pPr>
        <w:pStyle w:val="BodyTxtInd315"/>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s>
        <w:rPr>
          <w:rFonts w:cs="Arial"/>
          <w:color w:val="auto"/>
          <w:szCs w:val="24"/>
          <w:shd w:val="clear" w:color="auto" w:fill="auto"/>
        </w:rPr>
      </w:pPr>
      <w:r>
        <w:rPr>
          <w:rFonts w:cs="Arial"/>
          <w:szCs w:val="24"/>
        </w:rPr>
        <w:t>A.</w:t>
      </w:r>
      <w:r>
        <w:rPr>
          <w:rFonts w:cs="Arial"/>
          <w:szCs w:val="24"/>
        </w:rPr>
        <w:tab/>
      </w:r>
      <w:r w:rsidR="002138E2">
        <w:rPr>
          <w:rFonts w:cs="Arial"/>
          <w:szCs w:val="24"/>
        </w:rPr>
        <w:t>Yes.</w:t>
      </w:r>
      <w:r w:rsidR="00716429">
        <w:rPr>
          <w:rFonts w:cs="Arial"/>
          <w:szCs w:val="24"/>
        </w:rPr>
        <w:t xml:space="preserve">  </w:t>
      </w:r>
      <w:r w:rsidR="00D8184B">
        <w:rPr>
          <w:rFonts w:cs="Arial"/>
          <w:szCs w:val="24"/>
        </w:rPr>
        <w:t xml:space="preserve">I testified before the Commission in Docket Nos. 35717 and 53601 and pre-filed direct testimony in Docket Nos. </w:t>
      </w:r>
      <w:r w:rsidR="005E16F2">
        <w:rPr>
          <w:rFonts w:cs="Arial"/>
          <w:szCs w:val="24"/>
        </w:rPr>
        <w:t xml:space="preserve">35717, </w:t>
      </w:r>
      <w:r w:rsidR="00D8184B">
        <w:rPr>
          <w:rFonts w:cs="Arial"/>
          <w:szCs w:val="24"/>
        </w:rPr>
        <w:t>38929, 46957, 48231, 49402, 50734, 51996</w:t>
      </w:r>
      <w:r w:rsidR="005E16F2">
        <w:rPr>
          <w:rFonts w:cs="Arial"/>
          <w:szCs w:val="24"/>
        </w:rPr>
        <w:t>, 53601</w:t>
      </w:r>
      <w:r w:rsidR="00EF4897">
        <w:rPr>
          <w:rFonts w:cs="Arial"/>
          <w:szCs w:val="24"/>
        </w:rPr>
        <w:t>, and 55190</w:t>
      </w:r>
      <w:r w:rsidR="00D8184B">
        <w:rPr>
          <w:rFonts w:cs="Arial"/>
          <w:szCs w:val="24"/>
        </w:rPr>
        <w:t xml:space="preserve">.  </w:t>
      </w:r>
      <w:r w:rsidR="00846E25">
        <w:rPr>
          <w:rFonts w:cs="Arial"/>
          <w:szCs w:val="24"/>
        </w:rPr>
        <w:t>In general, m</w:t>
      </w:r>
      <w:r w:rsidR="00D8184B">
        <w:rPr>
          <w:rFonts w:cs="Arial"/>
          <w:szCs w:val="24"/>
        </w:rPr>
        <w:t xml:space="preserve">y prior testimony before the Commission has addressed issues concerning Oncor’s financial </w:t>
      </w:r>
      <w:r w:rsidR="00D8184B">
        <w:rPr>
          <w:rFonts w:cs="Arial"/>
          <w:szCs w:val="24"/>
        </w:rPr>
        <w:t>reporting and accounting practices, electric plant in service (including interim investment updates</w:t>
      </w:r>
      <w:r w:rsidR="00825A0B">
        <w:rPr>
          <w:rFonts w:cs="Arial"/>
          <w:szCs w:val="24"/>
        </w:rPr>
        <w:t xml:space="preserve"> reflected in Distribution Cost Recovery Factor (“DCRF”) filings</w:t>
      </w:r>
      <w:r w:rsidR="00D8184B">
        <w:rPr>
          <w:rFonts w:cs="Arial"/>
          <w:szCs w:val="24"/>
        </w:rPr>
        <w:t>), regulatory assets and liabilities, utility operation and maintenance (“O&amp;M”) expenses, working capital, miscellaneous revenues, historical billing units, and the sale of electric plant.</w:t>
      </w:r>
      <w:r w:rsidR="00BB6A2A">
        <w:rPr>
          <w:rFonts w:cs="Arial"/>
          <w:szCs w:val="24"/>
        </w:rPr>
        <w:t xml:space="preserve">  In addition, I have testified </w:t>
      </w:r>
      <w:r w:rsidR="00E56287">
        <w:rPr>
          <w:rFonts w:cs="Arial"/>
          <w:szCs w:val="24"/>
        </w:rPr>
        <w:t>on behalf of Oncor in State Office of Administrative Hearings Docket Nos. 304</w:t>
      </w:r>
      <w:r w:rsidR="009D6B2D">
        <w:rPr>
          <w:rFonts w:cs="Arial"/>
          <w:szCs w:val="24"/>
        </w:rPr>
        <w:noBreakHyphen/>
      </w:r>
      <w:r w:rsidR="00E56287">
        <w:rPr>
          <w:rFonts w:cs="Arial"/>
          <w:szCs w:val="24"/>
        </w:rPr>
        <w:t>17</w:t>
      </w:r>
      <w:r w:rsidR="009D6B2D">
        <w:rPr>
          <w:rFonts w:cs="Arial"/>
          <w:szCs w:val="24"/>
        </w:rPr>
        <w:noBreakHyphen/>
      </w:r>
      <w:r w:rsidR="00E56287">
        <w:rPr>
          <w:rFonts w:cs="Arial"/>
          <w:szCs w:val="24"/>
        </w:rPr>
        <w:t>4552.PVS and 304</w:t>
      </w:r>
      <w:r w:rsidR="00C2157D">
        <w:rPr>
          <w:rFonts w:cs="Arial"/>
          <w:szCs w:val="24"/>
        </w:rPr>
        <w:noBreakHyphen/>
      </w:r>
      <w:r w:rsidR="00E56287">
        <w:rPr>
          <w:rFonts w:cs="Arial"/>
          <w:szCs w:val="24"/>
        </w:rPr>
        <w:t xml:space="preserve">21-3344.PVS </w:t>
      </w:r>
      <w:r w:rsidR="006C1E5F">
        <w:rPr>
          <w:rFonts w:cs="Arial"/>
          <w:szCs w:val="24"/>
        </w:rPr>
        <w:t>concern</w:t>
      </w:r>
      <w:r w:rsidR="00BB6A2A">
        <w:rPr>
          <w:rFonts w:cs="Arial"/>
          <w:szCs w:val="24"/>
        </w:rPr>
        <w:t xml:space="preserve">ing the determination of the market value of </w:t>
      </w:r>
      <w:r w:rsidR="00E56287">
        <w:rPr>
          <w:rFonts w:cs="Arial"/>
          <w:szCs w:val="24"/>
        </w:rPr>
        <w:t>the Company</w:t>
      </w:r>
      <w:r w:rsidR="00BB6A2A">
        <w:rPr>
          <w:rFonts w:cs="Arial"/>
          <w:szCs w:val="24"/>
        </w:rPr>
        <w:t xml:space="preserve">’s taxable tangible personal property </w:t>
      </w:r>
      <w:r w:rsidR="00E56287">
        <w:rPr>
          <w:rFonts w:cs="Arial"/>
          <w:szCs w:val="24"/>
        </w:rPr>
        <w:t>by</w:t>
      </w:r>
      <w:r w:rsidR="00BB6A2A">
        <w:rPr>
          <w:rFonts w:cs="Arial"/>
          <w:szCs w:val="24"/>
        </w:rPr>
        <w:t xml:space="preserve"> the State Comptroller’s Property Tax Assistance Division</w:t>
      </w:r>
      <w:bookmarkStart w:id="1" w:name="_Hlk135121331"/>
      <w:r w:rsidR="00BB6A2A">
        <w:rPr>
          <w:rFonts w:cs="Arial"/>
          <w:szCs w:val="24"/>
        </w:rPr>
        <w:t>.</w:t>
      </w:r>
      <w:bookmarkEnd w:id="1"/>
    </w:p>
    <w:p w:rsidR="00CE5FBB" w:rsidRPr="00A556E3" w:rsidP="00C12734" w14:paraId="49011A11" w14:textId="790E26FA">
      <w:pPr>
        <w:pStyle w:val="Heading1"/>
        <w:numPr>
          <w:ilvl w:val="0"/>
          <w:numId w:val="0"/>
        </w:numPr>
        <w:ind w:left="720"/>
        <w:jc w:val="center"/>
        <w:rPr>
          <w:color w:val="auto"/>
          <w:szCs w:val="24"/>
          <w:u w:val="none"/>
          <w:shd w:val="clear" w:color="auto" w:fill="auto"/>
        </w:rPr>
      </w:pPr>
      <w:bookmarkStart w:id="2" w:name="_Toc429577229"/>
      <w:r>
        <w:rPr>
          <w:szCs w:val="24"/>
          <w:u w:val="none"/>
        </w:rPr>
        <w:t xml:space="preserve">II.  </w:t>
      </w:r>
      <w:r w:rsidR="009F7F9C">
        <w:rPr>
          <w:szCs w:val="24"/>
        </w:rPr>
        <w:t>OVERVIEW AND P</w:t>
      </w:r>
      <w:r w:rsidRPr="00A556E3" w:rsidR="0060655C">
        <w:rPr>
          <w:szCs w:val="24"/>
        </w:rPr>
        <w:t xml:space="preserve">URPOSE OF </w:t>
      </w:r>
      <w:r w:rsidR="005E16F2">
        <w:rPr>
          <w:szCs w:val="24"/>
        </w:rPr>
        <w:t xml:space="preserve">DIRECT </w:t>
      </w:r>
      <w:r w:rsidRPr="00A556E3" w:rsidR="0060655C">
        <w:rPr>
          <w:szCs w:val="24"/>
        </w:rPr>
        <w:t>TESTIMONY</w:t>
      </w:r>
      <w:bookmarkEnd w:id="2"/>
    </w:p>
    <w:p w:rsidR="00CE5FBB" w14:paraId="4A51E713" w14:textId="2430C800">
      <w:pPr>
        <w:pStyle w:val="BodyTxtInd315"/>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s>
        <w:rPr>
          <w:rFonts w:cs="Arial"/>
          <w:color w:val="auto"/>
          <w:szCs w:val="24"/>
          <w:shd w:val="clear" w:color="auto" w:fill="auto"/>
        </w:rPr>
      </w:pPr>
      <w:r>
        <w:rPr>
          <w:rFonts w:cs="Arial"/>
          <w:szCs w:val="24"/>
        </w:rPr>
        <w:t>Q.</w:t>
      </w:r>
      <w:r>
        <w:rPr>
          <w:rFonts w:cs="Arial"/>
          <w:szCs w:val="24"/>
        </w:rPr>
        <w:tab/>
      </w:r>
      <w:r w:rsidR="00404A4F">
        <w:rPr>
          <w:rFonts w:cs="Arial"/>
          <w:szCs w:val="24"/>
        </w:rPr>
        <w:t>PLEASE PROVIDE A SUMMARY OF</w:t>
      </w:r>
      <w:r>
        <w:rPr>
          <w:rFonts w:cs="Arial"/>
          <w:szCs w:val="24"/>
        </w:rPr>
        <w:t xml:space="preserve"> THE PURPOSE OF YOUR </w:t>
      </w:r>
      <w:r w:rsidR="00762C79">
        <w:rPr>
          <w:rFonts w:cs="Arial"/>
          <w:szCs w:val="24"/>
        </w:rPr>
        <w:t xml:space="preserve">DIRECT </w:t>
      </w:r>
      <w:r>
        <w:rPr>
          <w:rFonts w:cs="Arial"/>
          <w:szCs w:val="24"/>
        </w:rPr>
        <w:t>TESTIMONY</w:t>
      </w:r>
      <w:r w:rsidR="00CB799A">
        <w:rPr>
          <w:rFonts w:cs="Arial"/>
          <w:szCs w:val="24"/>
        </w:rPr>
        <w:t xml:space="preserve"> IN THIS APPLICATION OF ONCOR ELECTRIC DELIVERY COMPANY LLC FOR APPROVAL TO AMEND ITS DISTRIBUTION COST RECOVERY FACTOR (“APPLICATION”)</w:t>
      </w:r>
      <w:r>
        <w:rPr>
          <w:rFonts w:cs="Arial"/>
          <w:szCs w:val="24"/>
        </w:rPr>
        <w:t>?</w:t>
      </w:r>
    </w:p>
    <w:p w:rsidR="00825A0B" w:rsidP="001D7DC0" w14:paraId="245E907A" w14:textId="036F864F">
      <w:pPr>
        <w:pStyle w:val="BodyTxtInd315"/>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s>
        <w:rPr>
          <w:color w:val="auto"/>
          <w:shd w:val="clear" w:color="auto" w:fill="auto"/>
        </w:rPr>
      </w:pPr>
      <w:r>
        <w:rPr>
          <w:rFonts w:cs="Arial"/>
          <w:szCs w:val="24"/>
        </w:rPr>
        <w:t>A.</w:t>
      </w:r>
      <w:r>
        <w:rPr>
          <w:rFonts w:cs="Arial"/>
          <w:szCs w:val="24"/>
        </w:rPr>
        <w:tab/>
        <w:t xml:space="preserve">The </w:t>
      </w:r>
      <w:r w:rsidR="001D7DC0">
        <w:rPr>
          <w:rFonts w:cs="Arial"/>
          <w:szCs w:val="24"/>
        </w:rPr>
        <w:t xml:space="preserve">Commission has </w:t>
      </w:r>
      <w:r w:rsidR="00404A4F">
        <w:rPr>
          <w:rFonts w:cs="Arial"/>
          <w:szCs w:val="24"/>
        </w:rPr>
        <w:t>issue</w:t>
      </w:r>
      <w:r w:rsidR="00025559">
        <w:rPr>
          <w:rFonts w:cs="Arial"/>
          <w:szCs w:val="24"/>
        </w:rPr>
        <w:t xml:space="preserve">d </w:t>
      </w:r>
      <w:r w:rsidR="001D7DC0">
        <w:rPr>
          <w:rFonts w:cs="Arial"/>
          <w:szCs w:val="24"/>
        </w:rPr>
        <w:t>16 Tex</w:t>
      </w:r>
      <w:r w:rsidR="00FB61A1">
        <w:rPr>
          <w:rFonts w:cs="Arial"/>
          <w:szCs w:val="24"/>
        </w:rPr>
        <w:t>.</w:t>
      </w:r>
      <w:r w:rsidR="001D7DC0">
        <w:rPr>
          <w:rFonts w:cs="Arial"/>
          <w:szCs w:val="24"/>
        </w:rPr>
        <w:t xml:space="preserve"> Admin</w:t>
      </w:r>
      <w:r w:rsidR="00FB61A1">
        <w:rPr>
          <w:rFonts w:cs="Arial"/>
          <w:szCs w:val="24"/>
        </w:rPr>
        <w:t>.</w:t>
      </w:r>
      <w:r w:rsidR="001D7DC0">
        <w:rPr>
          <w:rFonts w:cs="Arial"/>
          <w:szCs w:val="24"/>
        </w:rPr>
        <w:t xml:space="preserve"> </w:t>
      </w:r>
      <w:r w:rsidRPr="001D7DC0" w:rsidR="001D7DC0">
        <w:rPr>
          <w:rFonts w:cs="Arial"/>
          <w:szCs w:val="24"/>
        </w:rPr>
        <w:t>Code</w:t>
      </w:r>
      <w:r w:rsidR="005E16F2">
        <w:rPr>
          <w:rFonts w:cs="Arial"/>
          <w:szCs w:val="24"/>
        </w:rPr>
        <w:t xml:space="preserve"> (“TAC”)</w:t>
      </w:r>
      <w:r w:rsidRPr="001D7DC0" w:rsidR="001D7DC0">
        <w:rPr>
          <w:rFonts w:cs="Arial"/>
          <w:szCs w:val="24"/>
        </w:rPr>
        <w:t xml:space="preserve"> </w:t>
      </w:r>
      <w:r w:rsidRPr="001D7DC0" w:rsidR="001D7DC0">
        <w:rPr>
          <w:rFonts w:eastAsiaTheme="minorHAnsi" w:cs="Arial"/>
          <w:szCs w:val="24"/>
        </w:rPr>
        <w:t>§</w:t>
      </w:r>
      <w:r w:rsidR="00025559">
        <w:rPr>
          <w:rFonts w:eastAsiaTheme="minorHAnsi" w:cs="Arial"/>
          <w:szCs w:val="24"/>
        </w:rPr>
        <w:t> </w:t>
      </w:r>
      <w:r w:rsidRPr="001D7DC0" w:rsidR="001D7DC0">
        <w:t>25.243</w:t>
      </w:r>
      <w:r w:rsidR="001D7DC0">
        <w:t xml:space="preserve"> to </w:t>
      </w:r>
      <w:r w:rsidRPr="001D7DC0" w:rsidR="001D7DC0">
        <w:t xml:space="preserve">implement </w:t>
      </w:r>
      <w:r w:rsidRPr="001D7DC0" w:rsidR="00846E25">
        <w:t xml:space="preserve">Public Utility Regulatory Act (“PURA”) </w:t>
      </w:r>
      <w:r w:rsidRPr="001D7DC0" w:rsidR="00846E25">
        <w:rPr>
          <w:rFonts w:eastAsiaTheme="minorHAnsi" w:cs="Arial"/>
          <w:szCs w:val="24"/>
        </w:rPr>
        <w:t>§</w:t>
      </w:r>
      <w:r w:rsidR="00025559">
        <w:rPr>
          <w:rFonts w:eastAsiaTheme="minorHAnsi" w:cs="Arial"/>
          <w:szCs w:val="24"/>
        </w:rPr>
        <w:t> </w:t>
      </w:r>
      <w:r w:rsidRPr="001D7DC0" w:rsidR="00846E25">
        <w:t>36.210</w:t>
      </w:r>
      <w:r w:rsidRPr="001D7DC0" w:rsidR="001D7DC0">
        <w:t>.  As defined in 16</w:t>
      </w:r>
      <w:r w:rsidR="00FB61A1">
        <w:t> </w:t>
      </w:r>
      <w:r w:rsidRPr="001D7DC0" w:rsidR="001D7DC0">
        <w:t xml:space="preserve">TAC </w:t>
      </w:r>
      <w:r w:rsidRPr="001D7DC0" w:rsidR="001D7DC0">
        <w:rPr>
          <w:rFonts w:eastAsiaTheme="minorHAnsi" w:cs="Arial"/>
          <w:szCs w:val="24"/>
        </w:rPr>
        <w:t>§</w:t>
      </w:r>
      <w:r w:rsidR="00025559">
        <w:rPr>
          <w:rFonts w:eastAsiaTheme="minorHAnsi" w:cs="Arial"/>
          <w:szCs w:val="24"/>
        </w:rPr>
        <w:t> </w:t>
      </w:r>
      <w:r w:rsidRPr="001D7DC0" w:rsidR="001D7DC0">
        <w:t>25.243</w:t>
      </w:r>
      <w:r w:rsidR="001D7DC0">
        <w:t>(a), the Commission’s substantive rules appl</w:t>
      </w:r>
      <w:r w:rsidR="009A1212">
        <w:t>y</w:t>
      </w:r>
      <w:r w:rsidR="001D7DC0">
        <w:t xml:space="preserve"> to electric utilities, like Oncor, “that provide wholesale or retail distribution service.” </w:t>
      </w:r>
      <w:r>
        <w:t xml:space="preserve">Together with 16 TAC </w:t>
      </w:r>
      <w:r w:rsidRPr="001D7DC0">
        <w:rPr>
          <w:rFonts w:eastAsiaTheme="minorHAnsi" w:cs="Arial"/>
          <w:szCs w:val="24"/>
        </w:rPr>
        <w:t>§</w:t>
      </w:r>
      <w:r>
        <w:rPr>
          <w:rFonts w:eastAsiaTheme="minorHAnsi" w:cs="Arial"/>
          <w:szCs w:val="24"/>
        </w:rPr>
        <w:t> </w:t>
      </w:r>
      <w:r w:rsidRPr="001D7DC0">
        <w:t>25.243</w:t>
      </w:r>
      <w:r>
        <w:t xml:space="preserve">, the Commission has also </w:t>
      </w:r>
      <w:r w:rsidR="00404A4F">
        <w:t>provide</w:t>
      </w:r>
      <w:r>
        <w:t xml:space="preserve">d instructive guidance relating to periodic rate adjustments requested pursuant to </w:t>
      </w:r>
      <w:r w:rsidRPr="001D7DC0">
        <w:t xml:space="preserve">PURA </w:t>
      </w:r>
      <w:r w:rsidRPr="001D7DC0">
        <w:rPr>
          <w:rFonts w:eastAsiaTheme="minorHAnsi" w:cs="Arial"/>
          <w:szCs w:val="24"/>
        </w:rPr>
        <w:t>§</w:t>
      </w:r>
      <w:r>
        <w:rPr>
          <w:rFonts w:eastAsiaTheme="minorHAnsi" w:cs="Arial"/>
          <w:szCs w:val="24"/>
        </w:rPr>
        <w:t> </w:t>
      </w:r>
      <w:r w:rsidRPr="001D7DC0">
        <w:t>36.210</w:t>
      </w:r>
      <w:r w:rsidR="00404A4F">
        <w:t>,</w:t>
      </w:r>
      <w:r>
        <w:t xml:space="preserve"> through the prescribed </w:t>
      </w:r>
      <w:r w:rsidRPr="00825A0B">
        <w:rPr>
          <w:i/>
          <w:iCs/>
          <w:u w:val="single"/>
        </w:rPr>
        <w:t xml:space="preserve">Application Form for </w:t>
      </w:r>
      <w:r w:rsidRPr="00825A0B" w:rsidR="00846E25">
        <w:rPr>
          <w:i/>
          <w:iCs/>
          <w:u w:val="single"/>
        </w:rPr>
        <w:t>Distribution Cost Recovery Factor (DCRF)</w:t>
      </w:r>
      <w:r w:rsidRPr="00825A0B">
        <w:rPr>
          <w:i/>
          <w:iCs/>
          <w:u w:val="single"/>
        </w:rPr>
        <w:t xml:space="preserve"> or DCRF Update</w:t>
      </w:r>
      <w:r w:rsidR="00D56563">
        <w:t xml:space="preserve">, </w:t>
      </w:r>
      <w:r w:rsidR="005E16F2">
        <w:t>which</w:t>
      </w:r>
      <w:r w:rsidR="00D56563">
        <w:t xml:space="preserve"> includes </w:t>
      </w:r>
      <w:r w:rsidR="00404A4F">
        <w:t>g</w:t>
      </w:r>
      <w:r w:rsidR="00D56563">
        <w:t xml:space="preserve">eneral </w:t>
      </w:r>
      <w:r w:rsidR="00404A4F">
        <w:t>i</w:t>
      </w:r>
      <w:r w:rsidR="00D56563">
        <w:t xml:space="preserve">nstructions and a </w:t>
      </w:r>
      <w:r w:rsidR="00404A4F">
        <w:t>listing</w:t>
      </w:r>
      <w:r w:rsidR="00D56563">
        <w:t xml:space="preserve"> of </w:t>
      </w:r>
      <w:r w:rsidR="00404A4F">
        <w:t>r</w:t>
      </w:r>
      <w:r w:rsidR="00D56563">
        <w:t xml:space="preserve">equired </w:t>
      </w:r>
      <w:r w:rsidR="00404A4F">
        <w:t>s</w:t>
      </w:r>
      <w:r w:rsidR="00D56563">
        <w:t>chedules for the Commission’s DCRF Rate Filing Package (“DCRF-RFP”).</w:t>
      </w:r>
    </w:p>
    <w:p w:rsidR="003F3874" w:rsidP="00825A0B" w14:paraId="6D8D746A" w14:textId="6E939DC7">
      <w:pPr>
        <w:pStyle w:val="BodyTxtInd315"/>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s>
        <w:ind w:firstLine="720"/>
        <w:rPr>
          <w:color w:val="auto"/>
          <w:shd w:val="clear" w:color="auto" w:fill="auto"/>
        </w:rPr>
      </w:pPr>
      <w:r>
        <w:rPr>
          <w:rFonts w:cs="Arial"/>
          <w:szCs w:val="24"/>
        </w:rPr>
        <w:t>Oncor’s most recent comprehensive base-rate proceeding was Commission Docket No. 53601,</w:t>
      </w:r>
      <w:r>
        <w:rPr>
          <w:rStyle w:val="FootnoteReference"/>
          <w:rFonts w:cs="Arial"/>
          <w:szCs w:val="24"/>
        </w:rPr>
        <w:footnoteReference w:id="2"/>
      </w:r>
      <w:r>
        <w:rPr>
          <w:rFonts w:cs="Arial"/>
          <w:szCs w:val="24"/>
        </w:rPr>
        <w:t xml:space="preserve"> which </w:t>
      </w:r>
      <w:r w:rsidR="00036241">
        <w:rPr>
          <w:rFonts w:cs="Arial"/>
          <w:szCs w:val="24"/>
        </w:rPr>
        <w:t>included</w:t>
      </w:r>
      <w:r>
        <w:rPr>
          <w:rFonts w:cs="Arial"/>
          <w:szCs w:val="24"/>
        </w:rPr>
        <w:t xml:space="preserve"> invested capital placed in service through the test year period ending December 31, 2021.  </w:t>
      </w:r>
      <w:r w:rsidR="003946E0">
        <w:rPr>
          <w:rFonts w:cs="Arial"/>
          <w:szCs w:val="24"/>
        </w:rPr>
        <w:t xml:space="preserve">With the implementation of new base rates resulting from the </w:t>
      </w:r>
      <w:r w:rsidR="00036241">
        <w:rPr>
          <w:rFonts w:cs="Arial"/>
          <w:szCs w:val="24"/>
        </w:rPr>
        <w:t xml:space="preserve">order in </w:t>
      </w:r>
      <w:r w:rsidR="003946E0">
        <w:rPr>
          <w:rFonts w:cs="Arial"/>
          <w:szCs w:val="24"/>
        </w:rPr>
        <w:t xml:space="preserve">Docket No. </w:t>
      </w:r>
      <w:r w:rsidR="003946E0">
        <w:rPr>
          <w:rFonts w:cs="Arial"/>
          <w:szCs w:val="24"/>
        </w:rPr>
        <w:t xml:space="preserve">53601, Oncor’s existing </w:t>
      </w:r>
      <w:r w:rsidR="00F105A7">
        <w:rPr>
          <w:rFonts w:cs="Arial"/>
          <w:szCs w:val="24"/>
        </w:rPr>
        <w:t xml:space="preserve">Rider </w:t>
      </w:r>
      <w:r w:rsidR="003946E0">
        <w:rPr>
          <w:rFonts w:cs="Arial"/>
          <w:szCs w:val="24"/>
        </w:rPr>
        <w:t xml:space="preserve">DCRF tariff rates </w:t>
      </w:r>
      <w:r w:rsidR="00D56563">
        <w:rPr>
          <w:rFonts w:cs="Arial"/>
          <w:szCs w:val="24"/>
        </w:rPr>
        <w:t xml:space="preserve">(that </w:t>
      </w:r>
      <w:r w:rsidR="000461B5">
        <w:rPr>
          <w:rFonts w:cs="Arial"/>
          <w:szCs w:val="24"/>
        </w:rPr>
        <w:t xml:space="preserve">had been in </w:t>
      </w:r>
      <w:r w:rsidR="00404A4F">
        <w:rPr>
          <w:rFonts w:cs="Arial"/>
          <w:szCs w:val="24"/>
        </w:rPr>
        <w:t xml:space="preserve">effect </w:t>
      </w:r>
      <w:r w:rsidR="000461B5">
        <w:rPr>
          <w:rFonts w:cs="Arial"/>
          <w:szCs w:val="24"/>
        </w:rPr>
        <w:t>since</w:t>
      </w:r>
      <w:r w:rsidR="00404A4F">
        <w:rPr>
          <w:rFonts w:cs="Arial"/>
          <w:szCs w:val="24"/>
        </w:rPr>
        <w:t xml:space="preserve"> September 1, 2021, as</w:t>
      </w:r>
      <w:r w:rsidR="00D56563">
        <w:rPr>
          <w:rFonts w:cs="Arial"/>
          <w:szCs w:val="24"/>
        </w:rPr>
        <w:t xml:space="preserve"> authorized in Docket No. 51996) </w:t>
      </w:r>
      <w:r w:rsidR="003946E0">
        <w:rPr>
          <w:rFonts w:cs="Arial"/>
          <w:szCs w:val="24"/>
        </w:rPr>
        <w:t>were reset to zero</w:t>
      </w:r>
      <w:r w:rsidR="00036241">
        <w:rPr>
          <w:rFonts w:cs="Arial"/>
          <w:szCs w:val="24"/>
        </w:rPr>
        <w:t>, effective</w:t>
      </w:r>
      <w:r w:rsidR="003946E0">
        <w:rPr>
          <w:rFonts w:cs="Arial"/>
          <w:szCs w:val="24"/>
        </w:rPr>
        <w:t xml:space="preserve"> </w:t>
      </w:r>
      <w:r w:rsidR="00D56563">
        <w:rPr>
          <w:rFonts w:cs="Arial"/>
          <w:szCs w:val="24"/>
        </w:rPr>
        <w:t>on</w:t>
      </w:r>
      <w:r w:rsidR="003946E0">
        <w:rPr>
          <w:rFonts w:cs="Arial"/>
          <w:szCs w:val="24"/>
        </w:rPr>
        <w:t xml:space="preserve"> May</w:t>
      </w:r>
      <w:r w:rsidR="00D56563">
        <w:rPr>
          <w:rFonts w:cs="Arial"/>
          <w:szCs w:val="24"/>
        </w:rPr>
        <w:t xml:space="preserve"> 1,</w:t>
      </w:r>
      <w:r w:rsidR="003946E0">
        <w:rPr>
          <w:rFonts w:cs="Arial"/>
          <w:szCs w:val="24"/>
        </w:rPr>
        <w:t xml:space="preserve"> 2023.</w:t>
      </w:r>
      <w:r w:rsidR="007876A4">
        <w:rPr>
          <w:rFonts w:cs="Arial"/>
          <w:szCs w:val="24"/>
        </w:rPr>
        <w:t xml:space="preserve">  Subsequently, in June 2023, Oncor filed an application for approval to amend its Rider DCRF and </w:t>
      </w:r>
      <w:r w:rsidR="005E16F2">
        <w:rPr>
          <w:rFonts w:cs="Arial"/>
          <w:szCs w:val="24"/>
        </w:rPr>
        <w:t xml:space="preserve">Rider </w:t>
      </w:r>
      <w:r w:rsidR="00F105A7">
        <w:rPr>
          <w:rFonts w:cs="Arial"/>
          <w:szCs w:val="24"/>
        </w:rPr>
        <w:t xml:space="preserve">Wholesale Distribution Cost Recovery Factor (“WDCRF”) to include additional </w:t>
      </w:r>
      <w:r>
        <w:rPr>
          <w:rFonts w:cs="Arial"/>
          <w:szCs w:val="24"/>
        </w:rPr>
        <w:t xml:space="preserve">distribution </w:t>
      </w:r>
      <w:r w:rsidR="00F105A7">
        <w:rPr>
          <w:rFonts w:cs="Arial"/>
          <w:szCs w:val="24"/>
        </w:rPr>
        <w:t xml:space="preserve">invested </w:t>
      </w:r>
      <w:r>
        <w:rPr>
          <w:rFonts w:cs="Arial"/>
          <w:szCs w:val="24"/>
        </w:rPr>
        <w:t xml:space="preserve">capital </w:t>
      </w:r>
      <w:r w:rsidR="006A773E">
        <w:rPr>
          <w:rFonts w:cs="Arial"/>
          <w:szCs w:val="24"/>
        </w:rPr>
        <w:t xml:space="preserve">(“DIC”) </w:t>
      </w:r>
      <w:r>
        <w:rPr>
          <w:rFonts w:cs="Arial"/>
          <w:szCs w:val="24"/>
        </w:rPr>
        <w:t>placed in service from January 1, 2022 through December 31, 2022</w:t>
      </w:r>
      <w:r w:rsidR="0093567C">
        <w:rPr>
          <w:rFonts w:cs="Arial"/>
          <w:szCs w:val="24"/>
        </w:rPr>
        <w:t>.</w:t>
      </w:r>
      <w:r>
        <w:rPr>
          <w:rStyle w:val="FootnoteReference"/>
          <w:rFonts w:cs="Arial"/>
          <w:szCs w:val="24"/>
        </w:rPr>
        <w:footnoteReference w:id="3"/>
      </w:r>
      <w:r w:rsidRPr="00825A0B">
        <w:t xml:space="preserve"> </w:t>
      </w:r>
      <w:r w:rsidR="007876A4">
        <w:t xml:space="preserve"> </w:t>
      </w:r>
      <w:r w:rsidR="00F15E52">
        <w:t>That docket is still pending as of the date this testimony was prepared.</w:t>
      </w:r>
    </w:p>
    <w:p w:rsidR="00846E25" w:rsidRPr="00846E25" w:rsidP="00825A0B" w14:paraId="3CAA49DA" w14:textId="6C4CC61B">
      <w:pPr>
        <w:pStyle w:val="BodyTxtInd315"/>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s>
        <w:ind w:firstLine="720"/>
        <w:rPr>
          <w:color w:val="auto"/>
          <w:highlight w:val="yellow"/>
          <w:shd w:val="clear" w:color="auto" w:fill="auto"/>
        </w:rPr>
      </w:pPr>
      <w:r>
        <w:t>Pursuant to legislation enacted during 2023</w:t>
      </w:r>
      <w:r w:rsidR="008A7454">
        <w:t>, S.B. 1015</w:t>
      </w:r>
      <w:r>
        <w:rPr>
          <w:rStyle w:val="FootnoteReference"/>
        </w:rPr>
        <w:footnoteReference w:id="4"/>
      </w:r>
      <w:r w:rsidR="008A7454">
        <w:t xml:space="preserve"> amends</w:t>
      </w:r>
      <w:r>
        <w:t xml:space="preserve"> </w:t>
      </w:r>
      <w:r w:rsidR="00745010">
        <w:t>PURA</w:t>
      </w:r>
      <w:r>
        <w:t xml:space="preserve"> </w:t>
      </w:r>
      <w:r w:rsidRPr="001D7DC0" w:rsidR="00745010">
        <w:rPr>
          <w:rFonts w:eastAsiaTheme="minorHAnsi" w:cs="Arial"/>
          <w:szCs w:val="24"/>
        </w:rPr>
        <w:t>§</w:t>
      </w:r>
      <w:r w:rsidR="00745010">
        <w:rPr>
          <w:rFonts w:eastAsiaTheme="minorHAnsi" w:cs="Arial"/>
          <w:szCs w:val="24"/>
        </w:rPr>
        <w:t> </w:t>
      </w:r>
      <w:r w:rsidRPr="001D7DC0" w:rsidR="00745010">
        <w:t>36.210</w:t>
      </w:r>
      <w:r w:rsidR="00745010">
        <w:t xml:space="preserve"> to increase the frequency that an electric utility, such as Oncor, may adjust its rates to not more than twice per year.  Accordingly, Oncor seeks to amend </w:t>
      </w:r>
      <w:r w:rsidR="0018043E">
        <w:t>its</w:t>
      </w:r>
      <w:r w:rsidR="00745010">
        <w:t xml:space="preserve"> DCRF and WDCRF tariffs to reflect </w:t>
      </w:r>
      <w:r w:rsidR="0018043E">
        <w:t xml:space="preserve">net </w:t>
      </w:r>
      <w:r w:rsidR="00745010">
        <w:t xml:space="preserve">incremental investment </w:t>
      </w:r>
      <w:r w:rsidR="0018043E">
        <w:t xml:space="preserve">realized </w:t>
      </w:r>
      <w:r w:rsidR="00745010">
        <w:t>during the 18-month period ending June 30, 2023</w:t>
      </w:r>
      <w:r w:rsidR="0018043E">
        <w:t>,</w:t>
      </w:r>
      <w:r w:rsidR="00745010">
        <w:t xml:space="preserve"> that is “categorized or functionalized as distribution plant, distribution-related intangible plant, and distribution-related communication equipment and networks” </w:t>
      </w:r>
      <w:r w:rsidR="0018043E">
        <w:t>[</w:t>
      </w:r>
      <w:r w:rsidR="00745010">
        <w:t xml:space="preserve">PURA </w:t>
      </w:r>
      <w:r w:rsidRPr="001D7DC0" w:rsidR="00745010">
        <w:rPr>
          <w:rFonts w:eastAsiaTheme="minorHAnsi" w:cs="Arial"/>
          <w:szCs w:val="24"/>
        </w:rPr>
        <w:t>§</w:t>
      </w:r>
      <w:r w:rsidR="00745010">
        <w:rPr>
          <w:rFonts w:eastAsiaTheme="minorHAnsi" w:cs="Arial"/>
          <w:szCs w:val="24"/>
        </w:rPr>
        <w:t> </w:t>
      </w:r>
      <w:r w:rsidRPr="001D7DC0" w:rsidR="00745010">
        <w:t>36.210</w:t>
      </w:r>
      <w:r w:rsidR="0018043E">
        <w:t>(</w:t>
      </w:r>
      <w:r w:rsidR="00745010">
        <w:t>a)</w:t>
      </w:r>
      <w:r w:rsidR="0018043E">
        <w:t xml:space="preserve">].  </w:t>
      </w:r>
      <w:r w:rsidR="00404A4F">
        <w:t xml:space="preserve">My direct testimony in this Application </w:t>
      </w:r>
      <w:r w:rsidR="00036241">
        <w:t xml:space="preserve">supports the determination of the updated </w:t>
      </w:r>
      <w:r w:rsidR="006A773E">
        <w:t>DIC</w:t>
      </w:r>
      <w:r w:rsidR="00036241">
        <w:t xml:space="preserve"> revenue requirement calculation reflected in the Company’s schedules and workpapers included in the accompa</w:t>
      </w:r>
      <w:r w:rsidRPr="00F426FF" w:rsidR="00036241">
        <w:t>nying DCRF</w:t>
      </w:r>
      <w:r w:rsidRPr="00F426FF" w:rsidR="00256867">
        <w:t>-</w:t>
      </w:r>
      <w:r w:rsidRPr="00F426FF" w:rsidR="00036241">
        <w:t>RFP.</w:t>
      </w:r>
      <w:r w:rsidRPr="00F426FF" w:rsidR="00F06864">
        <w:t xml:space="preserve">  </w:t>
      </w:r>
      <w:r w:rsidRPr="00F426FF" w:rsidR="00F426FF">
        <w:t xml:space="preserve">As shown on my Exhibit WAL-1, this DCRF </w:t>
      </w:r>
      <w:r w:rsidR="00C0126E">
        <w:t>A</w:t>
      </w:r>
      <w:r w:rsidRPr="00F426FF" w:rsidR="00F426FF">
        <w:t xml:space="preserve">pplication reflects a revenue </w:t>
      </w:r>
      <w:r w:rsidRPr="001A28D9" w:rsidR="00F426FF">
        <w:t>requirement increase of $</w:t>
      </w:r>
      <w:r w:rsidR="00F15E52">
        <w:t>56.2</w:t>
      </w:r>
      <w:r w:rsidRPr="001A28D9" w:rsidR="00F426FF">
        <w:t xml:space="preserve"> million</w:t>
      </w:r>
      <w:r w:rsidR="0018043E">
        <w:t xml:space="preserve"> over the distribution and distribution-related costs reflected in Docket No. 55190</w:t>
      </w:r>
      <w:r w:rsidRPr="001A28D9" w:rsidR="00F426FF">
        <w:t xml:space="preserve">.  After reflecting the net effects of </w:t>
      </w:r>
      <w:r w:rsidRPr="001A28D9" w:rsidR="00ED3308">
        <w:t>the $</w:t>
      </w:r>
      <w:r w:rsidR="00F15E52">
        <w:t>23.1</w:t>
      </w:r>
      <w:r w:rsidRPr="001A28D9" w:rsidR="00ED3308">
        <w:t xml:space="preserve"> million </w:t>
      </w:r>
      <w:r w:rsidRPr="001A28D9" w:rsidR="00F426FF">
        <w:t>customer</w:t>
      </w:r>
      <w:r w:rsidR="0093567C">
        <w:t xml:space="preserve"> and weather-normalized</w:t>
      </w:r>
      <w:r w:rsidRPr="001A28D9" w:rsidR="00F426FF">
        <w:t xml:space="preserve"> growth</w:t>
      </w:r>
      <w:r w:rsidRPr="001A28D9" w:rsidR="00ED3308">
        <w:t xml:space="preserve"> and usage adjustment for</w:t>
      </w:r>
      <w:r w:rsidRPr="001A28D9" w:rsidR="00F426FF">
        <w:t xml:space="preserve"> </w:t>
      </w:r>
      <w:r w:rsidR="0018043E">
        <w:t>the 18</w:t>
      </w:r>
      <w:r w:rsidR="0093567C">
        <w:t xml:space="preserve"> </w:t>
      </w:r>
      <w:r w:rsidR="00F15E52">
        <w:t>m</w:t>
      </w:r>
      <w:r w:rsidR="0018043E">
        <w:t xml:space="preserve">onths </w:t>
      </w:r>
      <w:r w:rsidR="00F15E52">
        <w:t>e</w:t>
      </w:r>
      <w:r w:rsidR="0018043E">
        <w:t>nd</w:t>
      </w:r>
      <w:r w:rsidR="00F15E52">
        <w:t>ing</w:t>
      </w:r>
      <w:r w:rsidR="0018043E">
        <w:t xml:space="preserve"> June 30, 2023</w:t>
      </w:r>
      <w:r w:rsidRPr="001A28D9" w:rsidR="00F426FF">
        <w:t>, Oncor</w:t>
      </w:r>
      <w:r w:rsidR="0018043E">
        <w:t xml:space="preserve">’s application </w:t>
      </w:r>
      <w:r w:rsidR="008A7454">
        <w:t xml:space="preserve">supports a requested </w:t>
      </w:r>
      <w:r w:rsidRPr="001A28D9" w:rsidR="00F426FF">
        <w:t>incremental</w:t>
      </w:r>
      <w:r w:rsidR="0018043E">
        <w:t xml:space="preserve"> revenue requirement of </w:t>
      </w:r>
      <w:r w:rsidRPr="001A28D9" w:rsidR="00F426FF">
        <w:t>$</w:t>
      </w:r>
      <w:r w:rsidR="00F15E52">
        <w:t>209.0</w:t>
      </w:r>
      <w:r w:rsidRPr="001A28D9" w:rsidR="00F426FF">
        <w:t xml:space="preserve"> million</w:t>
      </w:r>
      <w:r w:rsidRPr="00F426FF" w:rsidR="00F426FF">
        <w:t xml:space="preserve"> </w:t>
      </w:r>
      <w:r w:rsidR="006466B2">
        <w:t>over the Docket No. 53601 base line values</w:t>
      </w:r>
      <w:r w:rsidRPr="00F426FF" w:rsidR="00F426FF">
        <w:t xml:space="preserve">.  </w:t>
      </w:r>
      <w:r w:rsidR="00833F7A">
        <w:t xml:space="preserve">Also shown on my Exhibit WAL-1 is a history of Oncor’s four </w:t>
      </w:r>
      <w:r w:rsidR="00833F7A">
        <w:t>previous DCRF update proceedings related to interim distribution invested capital updates that were</w:t>
      </w:r>
      <w:r w:rsidR="008A7454">
        <w:t xml:space="preserve"> implemented prior to</w:t>
      </w:r>
      <w:r w:rsidR="00833F7A">
        <w:t xml:space="preserve"> Docket No. 53601.</w:t>
      </w:r>
    </w:p>
    <w:p w:rsidR="00846E25" w:rsidRPr="00833F7A" w:rsidP="00846E25" w14:paraId="09AF1252" w14:textId="77777777">
      <w:pPr>
        <w:tabs>
          <w:tab w:val="left" w:pos="1440"/>
        </w:tabs>
        <w:spacing w:line="360" w:lineRule="auto"/>
        <w:ind w:left="720"/>
        <w:jc w:val="both"/>
        <w:rPr>
          <w:color w:val="auto"/>
          <w:shd w:val="clear" w:color="auto" w:fill="auto"/>
        </w:rPr>
      </w:pPr>
      <w:r w:rsidRPr="00833F7A">
        <w:tab/>
        <w:t>My direct testimony, exhibits, sponsored schedules and workpapers were prepared by me or under my direction, supervision, or control, and are true and correct.</w:t>
      </w:r>
    </w:p>
    <w:p w:rsidR="00846E25" w:rsidRPr="00833F7A" w:rsidP="00846E25" w14:paraId="1C5E889E" w14:textId="77777777">
      <w:pPr>
        <w:tabs>
          <w:tab w:val="left" w:pos="1440"/>
        </w:tabs>
        <w:spacing w:line="360" w:lineRule="auto"/>
        <w:ind w:left="720" w:hanging="720"/>
        <w:jc w:val="both"/>
        <w:rPr>
          <w:color w:val="auto"/>
          <w:shd w:val="clear" w:color="auto" w:fill="auto"/>
        </w:rPr>
      </w:pPr>
      <w:r w:rsidRPr="00833F7A">
        <w:t>Q.</w:t>
      </w:r>
      <w:r w:rsidRPr="00833F7A">
        <w:tab/>
        <w:t>WHICH DCRF-RFP SCHEDULES AND WORKPAPERS DO YOU SPONSOR IN THIS PROCEEDING?</w:t>
      </w:r>
    </w:p>
    <w:p w:rsidR="00846E25" w:rsidRPr="00833F7A" w:rsidP="00846E25" w14:paraId="71ABCB0B" w14:textId="7E6F85B3">
      <w:pPr>
        <w:tabs>
          <w:tab w:val="left" w:pos="1440"/>
        </w:tabs>
        <w:spacing w:line="360" w:lineRule="auto"/>
        <w:ind w:left="720" w:hanging="720"/>
        <w:jc w:val="both"/>
        <w:rPr>
          <w:color w:val="auto"/>
          <w:shd w:val="clear" w:color="auto" w:fill="auto"/>
        </w:rPr>
      </w:pPr>
      <w:r w:rsidRPr="00833F7A">
        <w:t>A.</w:t>
      </w:r>
      <w:r w:rsidRPr="00833F7A">
        <w:tab/>
        <w:t xml:space="preserve">Together with the related workpapers identified in my </w:t>
      </w:r>
      <w:r w:rsidRPr="001A28D9">
        <w:t>Exhibit WAL-</w:t>
      </w:r>
      <w:r w:rsidRPr="001A28D9" w:rsidR="001F21DC">
        <w:t>6</w:t>
      </w:r>
      <w:r w:rsidRPr="001A28D9">
        <w:t>, I</w:t>
      </w:r>
      <w:r w:rsidRPr="00833F7A">
        <w:t xml:space="preserve"> sponsor or co-sponsor the following DCRF-RFP schedules:</w:t>
      </w:r>
    </w:p>
    <w:p w:rsidR="00846E25" w:rsidRPr="00833F7A" w:rsidP="00846E25" w14:paraId="6699674B" w14:textId="77777777">
      <w:pPr>
        <w:tabs>
          <w:tab w:val="left" w:pos="1440"/>
        </w:tabs>
        <w:spacing w:line="360" w:lineRule="auto"/>
        <w:ind w:left="720" w:hanging="720"/>
        <w:jc w:val="both"/>
        <w:rPr>
          <w:color w:val="auto"/>
          <w:shd w:val="clear" w:color="auto" w:fill="auto"/>
        </w:rPr>
      </w:pPr>
      <w:r w:rsidRPr="00833F7A">
        <w:tab/>
        <w:t>Schedule A</w:t>
      </w:r>
      <w:r w:rsidRPr="00833F7A">
        <w:tab/>
      </w:r>
      <w:r w:rsidRPr="00833F7A">
        <w:tab/>
        <w:t>Summary of Distribution Cost of Service (DCOS);</w:t>
      </w:r>
    </w:p>
    <w:p w:rsidR="00846E25" w:rsidRPr="00833F7A" w:rsidP="00846E25" w14:paraId="261CA3A8" w14:textId="77777777">
      <w:pPr>
        <w:tabs>
          <w:tab w:val="left" w:pos="1440"/>
        </w:tabs>
        <w:spacing w:line="360" w:lineRule="auto"/>
        <w:ind w:left="720" w:hanging="720"/>
        <w:jc w:val="both"/>
        <w:rPr>
          <w:color w:val="auto"/>
          <w:shd w:val="clear" w:color="auto" w:fill="auto"/>
        </w:rPr>
      </w:pPr>
      <w:r w:rsidRPr="00833F7A">
        <w:tab/>
        <w:t>Schedule B</w:t>
      </w:r>
      <w:r w:rsidRPr="00833F7A">
        <w:tab/>
      </w:r>
      <w:r w:rsidRPr="00833F7A">
        <w:tab/>
        <w:t>Summary of Distribution Rate Base;</w:t>
      </w:r>
    </w:p>
    <w:p w:rsidR="00846E25" w:rsidRPr="00833F7A" w:rsidP="00846E25" w14:paraId="33BF1DBA" w14:textId="7CFABC89">
      <w:pPr>
        <w:tabs>
          <w:tab w:val="left" w:pos="1440"/>
        </w:tabs>
        <w:spacing w:line="360" w:lineRule="auto"/>
        <w:ind w:left="720" w:hanging="720"/>
        <w:jc w:val="both"/>
        <w:rPr>
          <w:color w:val="auto"/>
          <w:shd w:val="clear" w:color="auto" w:fill="auto"/>
        </w:rPr>
      </w:pPr>
      <w:r w:rsidRPr="00833F7A">
        <w:tab/>
        <w:t>Schedule B-1</w:t>
      </w:r>
      <w:r w:rsidRPr="00833F7A">
        <w:tab/>
        <w:t>Distribution Plant</w:t>
      </w:r>
      <w:r w:rsidR="006A773E">
        <w:t xml:space="preserve"> </w:t>
      </w:r>
      <w:r w:rsidRPr="00833F7A">
        <w:t>-</w:t>
      </w:r>
      <w:r w:rsidR="006A773E">
        <w:t xml:space="preserve"> </w:t>
      </w:r>
      <w:r w:rsidRPr="00833F7A">
        <w:t>Gross;</w:t>
      </w:r>
    </w:p>
    <w:p w:rsidR="00846E25" w:rsidRPr="00833F7A" w:rsidP="00846E25" w14:paraId="45E43D2A" w14:textId="77777777">
      <w:pPr>
        <w:tabs>
          <w:tab w:val="left" w:pos="1440"/>
        </w:tabs>
        <w:spacing w:line="360" w:lineRule="auto"/>
        <w:ind w:left="720" w:hanging="720"/>
        <w:jc w:val="both"/>
        <w:rPr>
          <w:color w:val="auto"/>
          <w:shd w:val="clear" w:color="auto" w:fill="auto"/>
        </w:rPr>
      </w:pPr>
      <w:r w:rsidRPr="00833F7A">
        <w:tab/>
        <w:t>Schedule B-5</w:t>
      </w:r>
      <w:r w:rsidRPr="00833F7A">
        <w:tab/>
        <w:t>Distribution Accumulated Depreciation;</w:t>
      </w:r>
    </w:p>
    <w:p w:rsidR="00846E25" w:rsidRPr="00833F7A" w:rsidP="00846E25" w14:paraId="600B50DE" w14:textId="77777777">
      <w:pPr>
        <w:tabs>
          <w:tab w:val="left" w:pos="720"/>
          <w:tab w:val="left" w:pos="2880"/>
        </w:tabs>
        <w:spacing w:line="360" w:lineRule="auto"/>
        <w:ind w:left="2880" w:hanging="2880"/>
        <w:jc w:val="both"/>
        <w:rPr>
          <w:color w:val="auto"/>
          <w:shd w:val="clear" w:color="auto" w:fill="auto"/>
        </w:rPr>
      </w:pPr>
      <w:r w:rsidRPr="00833F7A">
        <w:tab/>
        <w:t>Schedule B-7</w:t>
      </w:r>
      <w:r w:rsidRPr="00833F7A">
        <w:tab/>
        <w:t>DIC-Related Accumulated Deferred Federal Income Taxes (ADFIT);</w:t>
      </w:r>
    </w:p>
    <w:p w:rsidR="00846E25" w:rsidRPr="00833F7A" w:rsidP="00846E25" w14:paraId="2D2A41F8" w14:textId="77777777">
      <w:pPr>
        <w:tabs>
          <w:tab w:val="left" w:pos="1440"/>
        </w:tabs>
        <w:spacing w:line="360" w:lineRule="auto"/>
        <w:ind w:left="720" w:hanging="720"/>
        <w:jc w:val="both"/>
        <w:rPr>
          <w:color w:val="auto"/>
          <w:shd w:val="clear" w:color="auto" w:fill="auto"/>
        </w:rPr>
      </w:pPr>
      <w:r w:rsidRPr="00833F7A">
        <w:tab/>
        <w:t>Schedule E-1</w:t>
      </w:r>
      <w:r w:rsidRPr="00833F7A">
        <w:tab/>
        <w:t>Distribution Depreciation Expense; and</w:t>
      </w:r>
    </w:p>
    <w:p w:rsidR="00846E25" w:rsidP="00846E25" w14:paraId="4931A175" w14:textId="01577525">
      <w:pPr>
        <w:tabs>
          <w:tab w:val="left" w:pos="2880"/>
        </w:tabs>
        <w:spacing w:line="360" w:lineRule="auto"/>
        <w:ind w:left="2880" w:hanging="2160"/>
        <w:jc w:val="both"/>
        <w:rPr>
          <w:color w:val="auto"/>
          <w:shd w:val="clear" w:color="auto" w:fill="auto"/>
        </w:rPr>
      </w:pPr>
      <w:r w:rsidRPr="00833F7A">
        <w:t>Schedule K</w:t>
      </w:r>
      <w:r w:rsidRPr="00833F7A">
        <w:tab/>
        <w:t>Earnings Report of Oncor Electric Delivery Company LLC (including Oncor NTU) to the Public Utility Commission of Texas for the 12 Months Ending December 31, 2022 (“2022 EMR”).</w:t>
      </w:r>
    </w:p>
    <w:p w:rsidR="00833F7A" w:rsidP="00846E25" w14:paraId="2BD63082" w14:textId="66AD7CFD">
      <w:pPr>
        <w:tabs>
          <w:tab w:val="left" w:pos="720"/>
          <w:tab w:val="left" w:pos="810"/>
        </w:tabs>
        <w:spacing w:line="360" w:lineRule="auto"/>
        <w:ind w:left="720" w:hanging="720"/>
        <w:jc w:val="both"/>
        <w:rPr>
          <w:color w:val="auto"/>
          <w:highlight w:val="yellow"/>
          <w:shd w:val="clear" w:color="auto" w:fill="auto"/>
        </w:rPr>
      </w:pPr>
      <w:r w:rsidRPr="00833F7A">
        <w:tab/>
        <w:t>The remaining DCRF-RFP schedules</w:t>
      </w:r>
      <w:r>
        <w:t xml:space="preserve"> are sponsored</w:t>
      </w:r>
      <w:r w:rsidR="008A7454">
        <w:t xml:space="preserve"> (or co-sponsored)</w:t>
      </w:r>
      <w:r>
        <w:t xml:space="preserve"> by Company witness</w:t>
      </w:r>
      <w:r w:rsidR="00C2157D">
        <w:t>es</w:t>
      </w:r>
      <w:r>
        <w:t xml:space="preserve"> Ms. Bonnie L. Clutter </w:t>
      </w:r>
      <w:r w:rsidR="00C2157D">
        <w:t>or</w:t>
      </w:r>
      <w:r>
        <w:t xml:space="preserve"> Mr. Matthew A. Troxle.</w:t>
      </w:r>
    </w:p>
    <w:p w:rsidR="00846E25" w:rsidRPr="00C2157D" w:rsidP="00846E25" w14:paraId="100BE198" w14:textId="449708DA">
      <w:pPr>
        <w:tabs>
          <w:tab w:val="left" w:pos="720"/>
          <w:tab w:val="left" w:pos="810"/>
        </w:tabs>
        <w:spacing w:line="360" w:lineRule="auto"/>
        <w:ind w:left="720" w:hanging="720"/>
        <w:jc w:val="both"/>
        <w:rPr>
          <w:color w:val="auto"/>
          <w:shd w:val="clear" w:color="auto" w:fill="auto"/>
        </w:rPr>
      </w:pPr>
      <w:r w:rsidRPr="00C2157D">
        <w:t>Q.</w:t>
      </w:r>
      <w:r w:rsidRPr="00C2157D">
        <w:tab/>
        <w:t xml:space="preserve">PLEASE PROVIDE AN OVERVIEW OF THE UPDATED DISTRIBUTION COST OF SERVICE </w:t>
      </w:r>
      <w:r w:rsidR="005E16F2">
        <w:t xml:space="preserve">(“DCOS”) </w:t>
      </w:r>
      <w:r w:rsidRPr="00C2157D">
        <w:t>REFLECTED IN THIS DCRF APPLICATION.</w:t>
      </w:r>
    </w:p>
    <w:p w:rsidR="00D80C86" w:rsidP="00ED6748" w14:paraId="431AA921" w14:textId="22627461">
      <w:pPr>
        <w:tabs>
          <w:tab w:val="left" w:pos="720"/>
          <w:tab w:val="left" w:pos="810"/>
        </w:tabs>
        <w:spacing w:line="360" w:lineRule="auto"/>
        <w:ind w:left="720" w:hanging="720"/>
        <w:jc w:val="both"/>
        <w:rPr>
          <w:rFonts w:cs="Arial"/>
          <w:color w:val="auto"/>
          <w:szCs w:val="24"/>
          <w:shd w:val="clear" w:color="auto" w:fill="auto"/>
        </w:rPr>
      </w:pPr>
      <w:r w:rsidRPr="00C2157D">
        <w:t>A.</w:t>
      </w:r>
      <w:r w:rsidRPr="00C2157D">
        <w:tab/>
        <w:t>As shown on column (</w:t>
      </w:r>
      <w:r w:rsidR="00B05B8E">
        <w:t>5</w:t>
      </w:r>
      <w:r w:rsidRPr="00C2157D">
        <w:t xml:space="preserve">) of DCRF-RFP </w:t>
      </w:r>
      <w:r w:rsidRPr="001A28D9">
        <w:t xml:space="preserve">Schedule A in this DCRF update </w:t>
      </w:r>
      <w:r w:rsidRPr="001A28D9" w:rsidR="00C0126E">
        <w:t>ap</w:t>
      </w:r>
      <w:r w:rsidRPr="001A28D9">
        <w:t>plication, Oncor’s DCOS presently nets to a total of $</w:t>
      </w:r>
      <w:r w:rsidRPr="001A28D9" w:rsidR="006659BA">
        <w:t>4.</w:t>
      </w:r>
      <w:r w:rsidR="00F15E52">
        <w:t>413</w:t>
      </w:r>
      <w:r w:rsidRPr="001A28D9">
        <w:t xml:space="preserve"> billion, after reflecting other revenues.  At </w:t>
      </w:r>
      <w:r w:rsidR="00EF4897">
        <w:t>June 30, 2023</w:t>
      </w:r>
      <w:r w:rsidRPr="001A28D9">
        <w:t>, Oncor’s annual DCOS reflects a cumulative increase of about $</w:t>
      </w:r>
      <w:r w:rsidR="00F15E52">
        <w:t>232.1</w:t>
      </w:r>
      <w:r w:rsidRPr="001A28D9">
        <w:t xml:space="preserve"> million over the 2021 base line values developed in Docket No. 53601 (see column (4) of DCRF-RFP Schedule A).  </w:t>
      </w:r>
      <w:r w:rsidRPr="001A28D9" w:rsidR="006659BA">
        <w:t xml:space="preserve">Slightly </w:t>
      </w:r>
      <w:r w:rsidR="00F15E52">
        <w:t>less</w:t>
      </w:r>
      <w:r w:rsidRPr="001A28D9" w:rsidR="006659BA">
        <w:t xml:space="preserve"> than</w:t>
      </w:r>
      <w:r w:rsidRPr="001A28D9">
        <w:t xml:space="preserve"> </w:t>
      </w:r>
      <w:r w:rsidR="00F15E52">
        <w:t>50</w:t>
      </w:r>
      <w:r w:rsidRPr="001A28D9">
        <w:t>% of this</w:t>
      </w:r>
      <w:r w:rsidRPr="001A28D9" w:rsidR="006659BA">
        <w:t xml:space="preserve"> $</w:t>
      </w:r>
      <w:r w:rsidR="00F15E52">
        <w:t>232.1</w:t>
      </w:r>
      <w:r w:rsidRPr="001A28D9" w:rsidR="006659BA">
        <w:t xml:space="preserve"> million</w:t>
      </w:r>
      <w:r w:rsidRPr="001A28D9">
        <w:t xml:space="preserve"> growth reflects increased </w:t>
      </w:r>
      <w:r w:rsidRPr="001A28D9">
        <w:t>operating expenses (depreciation and amortization, taxes other than income taxes,</w:t>
      </w:r>
      <w:r w:rsidR="008A7454">
        <w:t xml:space="preserve"> Texas gross margin taxes,</w:t>
      </w:r>
      <w:r w:rsidRPr="001A28D9">
        <w:t xml:space="preserve"> and federal income taxes) and the remaining increase reflects</w:t>
      </w:r>
      <w:r w:rsidR="00B72629">
        <w:t xml:space="preserve"> additional</w:t>
      </w:r>
      <w:r w:rsidRPr="001A28D9">
        <w:t xml:space="preserve"> capital costs re</w:t>
      </w:r>
      <w:r w:rsidR="00B72629">
        <w:t>sulting from</w:t>
      </w:r>
      <w:r w:rsidRPr="001A28D9">
        <w:t xml:space="preserve"> the significant growth in distribution electric plant in service</w:t>
      </w:r>
      <w:r w:rsidRPr="001A28D9" w:rsidR="00C2157D">
        <w:t xml:space="preserve"> during </w:t>
      </w:r>
      <w:r w:rsidR="00EF4897">
        <w:t xml:space="preserve">the 18 </w:t>
      </w:r>
      <w:r w:rsidR="00F15E52">
        <w:t>m</w:t>
      </w:r>
      <w:r w:rsidR="00EF4897">
        <w:t xml:space="preserve">onths </w:t>
      </w:r>
      <w:r w:rsidR="00F15E52">
        <w:t>e</w:t>
      </w:r>
      <w:r w:rsidR="00EF4897">
        <w:t>nd</w:t>
      </w:r>
      <w:r w:rsidR="00F15E52">
        <w:t>ing</w:t>
      </w:r>
      <w:r w:rsidR="00EF4897">
        <w:t xml:space="preserve"> June 30, </w:t>
      </w:r>
      <w:r w:rsidRPr="001A28D9" w:rsidR="00C2157D">
        <w:t>202</w:t>
      </w:r>
      <w:r w:rsidR="00EF4897">
        <w:t>3</w:t>
      </w:r>
      <w:r w:rsidRPr="001A28D9">
        <w:t>.  As shown on column (</w:t>
      </w:r>
      <w:r w:rsidRPr="001A28D9" w:rsidR="006659BA">
        <w:t>4</w:t>
      </w:r>
      <w:r w:rsidRPr="001A28D9">
        <w:t>) of</w:t>
      </w:r>
      <w:r w:rsidRPr="00C2157D">
        <w:t xml:space="preserve"> DCRF-RFP Schedule B in this DCRF update application, Oncor’s net distribution rate base </w:t>
      </w:r>
      <w:r w:rsidR="00C2157D">
        <w:t xml:space="preserve">at </w:t>
      </w:r>
      <w:r w:rsidR="00EF4897">
        <w:t>June 30,</w:t>
      </w:r>
      <w:r w:rsidR="00C2157D">
        <w:t xml:space="preserve"> 202</w:t>
      </w:r>
      <w:r w:rsidR="00EF4897">
        <w:t>3</w:t>
      </w:r>
      <w:r w:rsidR="00C2157D">
        <w:t xml:space="preserve"> totals more </w:t>
      </w:r>
      <w:r w:rsidRPr="00C2157D">
        <w:t>th</w:t>
      </w:r>
      <w:r w:rsidRPr="001A28D9">
        <w:t>an $</w:t>
      </w:r>
      <w:r w:rsidRPr="001A28D9" w:rsidR="006659BA">
        <w:t>1</w:t>
      </w:r>
      <w:r w:rsidR="005C276C">
        <w:t>1</w:t>
      </w:r>
      <w:r w:rsidRPr="001A28D9" w:rsidR="006659BA">
        <w:t>.</w:t>
      </w:r>
      <w:r w:rsidR="00F15E52">
        <w:t>4</w:t>
      </w:r>
      <w:r w:rsidRPr="001A28D9">
        <w:t xml:space="preserve"> billion</w:t>
      </w:r>
      <w:r w:rsidRPr="00C2157D">
        <w:t>.</w:t>
      </w:r>
      <w:r w:rsidR="006A773E">
        <w:t xml:space="preserve">  Company witness Mr. Coler D. Snelleman provides additional direct testimony concerning Oncor’s investments in distribution </w:t>
      </w:r>
      <w:r w:rsidR="008A7454">
        <w:t>and distribution-related plant</w:t>
      </w:r>
      <w:r w:rsidR="006A773E">
        <w:t>.</w:t>
      </w:r>
      <w:r w:rsidR="0060655C">
        <w:rPr>
          <w:rFonts w:cs="Arial"/>
          <w:szCs w:val="24"/>
        </w:rPr>
        <w:t xml:space="preserve"> </w:t>
      </w:r>
      <w:bookmarkStart w:id="3" w:name="_Toc429577230"/>
    </w:p>
    <w:p w:rsidR="00CE5FBB" w:rsidP="00D80C86" w14:paraId="70D74009" w14:textId="553C70DD">
      <w:pPr>
        <w:pStyle w:val="BodyTxtInd315"/>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s>
        <w:jc w:val="center"/>
        <w:rPr>
          <w:b/>
          <w:color w:val="auto"/>
          <w:szCs w:val="24"/>
          <w:u w:val="single"/>
          <w:shd w:val="clear" w:color="auto" w:fill="auto"/>
        </w:rPr>
      </w:pPr>
      <w:r>
        <w:rPr>
          <w:b/>
          <w:szCs w:val="24"/>
        </w:rPr>
        <w:t xml:space="preserve">III.  </w:t>
      </w:r>
      <w:r w:rsidR="009F7F9C">
        <w:rPr>
          <w:b/>
          <w:szCs w:val="24"/>
          <w:u w:val="single"/>
        </w:rPr>
        <w:t>DCRF APPLICATION FILING REQUIREMENTS</w:t>
      </w:r>
      <w:bookmarkEnd w:id="3"/>
    </w:p>
    <w:p w:rsidR="00B24987" w:rsidRPr="00B24987" w:rsidP="00D80C86" w14:paraId="0AC2A521" w14:textId="44477454">
      <w:pPr>
        <w:pStyle w:val="BodyTxtInd315"/>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s>
        <w:jc w:val="center"/>
        <w:rPr>
          <w:bCs/>
          <w:color w:val="auto"/>
          <w:szCs w:val="24"/>
          <w:shd w:val="clear" w:color="auto" w:fill="auto"/>
        </w:rPr>
      </w:pPr>
      <w:r w:rsidRPr="00B24987">
        <w:rPr>
          <w:bCs/>
          <w:szCs w:val="24"/>
        </w:rPr>
        <w:t xml:space="preserve">A.  </w:t>
      </w:r>
      <w:r w:rsidRPr="00B24987">
        <w:rPr>
          <w:bCs/>
          <w:szCs w:val="24"/>
          <w:u w:val="single"/>
        </w:rPr>
        <w:t>General Instructions</w:t>
      </w:r>
    </w:p>
    <w:p w:rsidR="00ED6748" w:rsidRPr="00ED6748" w:rsidP="00ED6748" w14:paraId="7E3ED478" w14:textId="77777777">
      <w:pPr>
        <w:tabs>
          <w:tab w:val="left" w:pos="720"/>
          <w:tab w:val="right" w:leader="dot" w:pos="8640"/>
        </w:tabs>
        <w:spacing w:line="360" w:lineRule="auto"/>
        <w:ind w:left="720" w:hanging="720"/>
        <w:jc w:val="both"/>
        <w:rPr>
          <w:rFonts w:cs="Arial"/>
          <w:color w:val="auto"/>
          <w:szCs w:val="24"/>
          <w:shd w:val="clear" w:color="auto" w:fill="auto"/>
        </w:rPr>
      </w:pPr>
      <w:r>
        <w:rPr>
          <w:rFonts w:cs="Arial"/>
          <w:szCs w:val="24"/>
        </w:rPr>
        <w:t>Q.</w:t>
      </w:r>
      <w:r>
        <w:rPr>
          <w:rFonts w:cs="Arial"/>
          <w:szCs w:val="24"/>
        </w:rPr>
        <w:tab/>
      </w:r>
      <w:r w:rsidRPr="00ED6748">
        <w:rPr>
          <w:rFonts w:cs="Arial"/>
          <w:szCs w:val="24"/>
        </w:rPr>
        <w:t>PLEASE SUMMARIZE THE GENERAL INSTRUCTIONS REFLECTED IN THE DCRF-RFP AND THEIR APPLICABILITY TO ONCOR.</w:t>
      </w:r>
    </w:p>
    <w:p w:rsidR="00ED6748" w:rsidRPr="00ED6748" w:rsidP="00ED6748" w14:paraId="4B69FBE6" w14:textId="06D17C50">
      <w:pPr>
        <w:tabs>
          <w:tab w:val="left" w:pos="720"/>
          <w:tab w:val="right" w:leader="dot" w:pos="8640"/>
        </w:tabs>
        <w:spacing w:line="360" w:lineRule="auto"/>
        <w:ind w:left="720" w:hanging="720"/>
        <w:jc w:val="both"/>
        <w:rPr>
          <w:rFonts w:cs="Arial"/>
          <w:color w:val="auto"/>
          <w:szCs w:val="24"/>
          <w:shd w:val="clear" w:color="auto" w:fill="auto"/>
        </w:rPr>
      </w:pPr>
      <w:r w:rsidRPr="00ED6748">
        <w:rPr>
          <w:rFonts w:cs="Arial"/>
          <w:szCs w:val="24"/>
        </w:rPr>
        <w:t>A.</w:t>
      </w:r>
      <w:r w:rsidRPr="00ED6748">
        <w:rPr>
          <w:rFonts w:cs="Arial"/>
          <w:szCs w:val="24"/>
        </w:rPr>
        <w:tab/>
        <w:t xml:space="preserve">Pursuant to 16 TAC </w:t>
      </w:r>
      <w:r w:rsidRPr="00ED6748">
        <w:rPr>
          <w:rFonts w:eastAsiaTheme="minorHAnsi" w:cs="Arial"/>
          <w:szCs w:val="24"/>
        </w:rPr>
        <w:t xml:space="preserve">§ </w:t>
      </w:r>
      <w:r w:rsidRPr="00ED6748">
        <w:t>25.72, O</w:t>
      </w:r>
      <w:r w:rsidRPr="00ED6748">
        <w:rPr>
          <w:rFonts w:cs="Arial"/>
          <w:szCs w:val="24"/>
        </w:rPr>
        <w:t xml:space="preserve">ncor – as a major electric utility – maintains its accounting books and financial records according to the instructional guidance and methodologies prescribed in the Uniform System of Accounts of the Federal Energy Regulatory Commission, hereafter referred to as the “FERC USOA.”  As directed in General Instruction 1 of the DCRF-RFP, the information provided in this DCRF </w:t>
      </w:r>
      <w:r w:rsidR="00C0126E">
        <w:rPr>
          <w:rFonts w:cs="Arial"/>
          <w:szCs w:val="24"/>
        </w:rPr>
        <w:t>A</w:t>
      </w:r>
      <w:r w:rsidRPr="00ED6748">
        <w:rPr>
          <w:rFonts w:cs="Arial"/>
          <w:szCs w:val="24"/>
        </w:rPr>
        <w:t>pplication is taken from Oncor’s accounting books and financial records and, therefore, is consistent with the prescribed FERC USOA.</w:t>
      </w:r>
    </w:p>
    <w:p w:rsidR="00ED6748" w:rsidP="00ED6748" w14:paraId="3BF18D95" w14:textId="7B052409">
      <w:pPr>
        <w:tabs>
          <w:tab w:val="left" w:pos="1440"/>
          <w:tab w:val="right" w:leader="dot" w:pos="8640"/>
        </w:tabs>
        <w:spacing w:line="360" w:lineRule="auto"/>
        <w:ind w:left="720" w:hanging="720"/>
        <w:jc w:val="both"/>
        <w:rPr>
          <w:rFonts w:cs="Arial"/>
          <w:color w:val="auto"/>
          <w:szCs w:val="24"/>
          <w:shd w:val="clear" w:color="auto" w:fill="auto"/>
        </w:rPr>
      </w:pPr>
      <w:r w:rsidRPr="00ED6748">
        <w:rPr>
          <w:rFonts w:cs="Arial"/>
          <w:szCs w:val="24"/>
        </w:rPr>
        <w:tab/>
      </w:r>
      <w:r w:rsidRPr="00ED6748">
        <w:rPr>
          <w:rFonts w:cs="Arial"/>
          <w:szCs w:val="24"/>
        </w:rPr>
        <w:tab/>
        <w:t>Moreover, as directed in General Instruction 2 of the DCRF-RFP, my direct testimony supports the required schedules and workpapers that I sponsor</w:t>
      </w:r>
      <w:r w:rsidR="00035EF2">
        <w:rPr>
          <w:rFonts w:cs="Arial"/>
          <w:szCs w:val="24"/>
        </w:rPr>
        <w:t xml:space="preserve"> or co-sponsor</w:t>
      </w:r>
      <w:r w:rsidRPr="00ED6748">
        <w:rPr>
          <w:rFonts w:cs="Arial"/>
          <w:szCs w:val="24"/>
        </w:rPr>
        <w:t>, including</w:t>
      </w:r>
      <w:r w:rsidR="00B72629">
        <w:rPr>
          <w:rFonts w:cs="Arial"/>
          <w:szCs w:val="24"/>
        </w:rPr>
        <w:t xml:space="preserve"> listings of</w:t>
      </w:r>
      <w:r w:rsidRPr="00ED6748">
        <w:rPr>
          <w:rFonts w:cs="Arial"/>
          <w:szCs w:val="24"/>
        </w:rPr>
        <w:t xml:space="preserve"> completed distribution</w:t>
      </w:r>
      <w:r w:rsidR="00B72629">
        <w:rPr>
          <w:rFonts w:cs="Arial"/>
          <w:szCs w:val="24"/>
        </w:rPr>
        <w:t xml:space="preserve"> and distribution-related</w:t>
      </w:r>
      <w:r w:rsidRPr="00ED6748">
        <w:rPr>
          <w:rFonts w:cs="Arial"/>
          <w:szCs w:val="24"/>
        </w:rPr>
        <w:t xml:space="preserve"> projects </w:t>
      </w:r>
      <w:r w:rsidR="00B72629">
        <w:rPr>
          <w:rFonts w:cs="Arial"/>
          <w:szCs w:val="24"/>
        </w:rPr>
        <w:t>that have been placed into service and added</w:t>
      </w:r>
      <w:r w:rsidRPr="00ED6748">
        <w:rPr>
          <w:rFonts w:cs="Arial"/>
          <w:szCs w:val="24"/>
        </w:rPr>
        <w:t xml:space="preserve"> to</w:t>
      </w:r>
      <w:r w:rsidR="00B72629">
        <w:rPr>
          <w:rFonts w:cs="Arial"/>
          <w:szCs w:val="24"/>
        </w:rPr>
        <w:t xml:space="preserve"> Oncor’s</w:t>
      </w:r>
      <w:r w:rsidRPr="00ED6748">
        <w:rPr>
          <w:rFonts w:cs="Arial"/>
          <w:szCs w:val="24"/>
        </w:rPr>
        <w:t xml:space="preserve"> rate base, applicable in-service dates, and descriptions of all projects with individual total capitalized costs </w:t>
      </w:r>
      <w:r w:rsidR="008A7454">
        <w:rPr>
          <w:rFonts w:cs="Arial"/>
          <w:szCs w:val="24"/>
        </w:rPr>
        <w:t xml:space="preserve">exceeding </w:t>
      </w:r>
      <w:r w:rsidRPr="00ED6748">
        <w:rPr>
          <w:rFonts w:cs="Arial"/>
          <w:szCs w:val="24"/>
        </w:rPr>
        <w:t>$100,000</w:t>
      </w:r>
      <w:r w:rsidR="008A7454">
        <w:rPr>
          <w:rFonts w:cs="Arial"/>
          <w:szCs w:val="24"/>
        </w:rPr>
        <w:t xml:space="preserve"> of gross incremental investment</w:t>
      </w:r>
      <w:r w:rsidRPr="00ED6748">
        <w:rPr>
          <w:rFonts w:cs="Arial"/>
          <w:szCs w:val="24"/>
        </w:rPr>
        <w:t xml:space="preserve">.  </w:t>
      </w:r>
      <w:r w:rsidR="00831863">
        <w:rPr>
          <w:rFonts w:cs="Arial"/>
          <w:szCs w:val="24"/>
        </w:rPr>
        <w:t>Oncor has provided these</w:t>
      </w:r>
      <w:r w:rsidRPr="00ED6748">
        <w:rPr>
          <w:rFonts w:cs="Arial"/>
          <w:szCs w:val="24"/>
        </w:rPr>
        <w:t xml:space="preserve"> schedules and workpapers in a complete functional electronic format consistent with </w:t>
      </w:r>
      <w:r w:rsidRPr="00ED6748">
        <w:rPr>
          <w:rFonts w:cs="Arial"/>
          <w:szCs w:val="24"/>
        </w:rPr>
        <w:t>General Instruction 2 of the DCRF-RFP, except where data from a non-financial source was directly entered into a functioning Excel workbook.</w:t>
      </w:r>
    </w:p>
    <w:p w:rsidR="00ED6748" w:rsidRPr="00ED6748" w:rsidP="00ED6748" w14:paraId="03DED0A3" w14:textId="7D9D80DD">
      <w:pPr>
        <w:tabs>
          <w:tab w:val="left" w:pos="1440"/>
          <w:tab w:val="right" w:leader="dot" w:pos="8640"/>
        </w:tabs>
        <w:spacing w:line="360" w:lineRule="auto"/>
        <w:ind w:left="720" w:hanging="720"/>
        <w:jc w:val="both"/>
        <w:rPr>
          <w:rFonts w:cs="Arial"/>
          <w:color w:val="auto"/>
          <w:szCs w:val="24"/>
          <w:shd w:val="clear" w:color="auto" w:fill="auto"/>
        </w:rPr>
      </w:pPr>
      <w:r>
        <w:rPr>
          <w:rFonts w:cs="Arial"/>
          <w:szCs w:val="24"/>
        </w:rPr>
        <w:tab/>
      </w:r>
      <w:r>
        <w:rPr>
          <w:rFonts w:cs="Arial"/>
          <w:szCs w:val="24"/>
        </w:rPr>
        <w:tab/>
        <w:t>Further, consistent with General Instruction 3 of the DCRF-RFP</w:t>
      </w:r>
      <w:r w:rsidR="00C0126E">
        <w:rPr>
          <w:rFonts w:cs="Arial"/>
          <w:szCs w:val="24"/>
        </w:rPr>
        <w:t xml:space="preserve">, Oncor’s DCRF Application only reflects incremental costs and return calculated in compliance with 16 TAC </w:t>
      </w:r>
      <w:r w:rsidRPr="00ED6748" w:rsidR="00C0126E">
        <w:rPr>
          <w:rFonts w:eastAsiaTheme="minorHAnsi" w:cs="Arial"/>
          <w:szCs w:val="24"/>
        </w:rPr>
        <w:t>§</w:t>
      </w:r>
      <w:r w:rsidR="00C0126E">
        <w:rPr>
          <w:rFonts w:eastAsiaTheme="minorHAnsi" w:cs="Arial"/>
          <w:szCs w:val="24"/>
        </w:rPr>
        <w:t> </w:t>
      </w:r>
      <w:r w:rsidRPr="00ED6748" w:rsidR="00C0126E">
        <w:t>25</w:t>
      </w:r>
      <w:r w:rsidR="00C0126E">
        <w:t xml:space="preserve">.243 for invested capital that is categorized </w:t>
      </w:r>
      <w:r w:rsidRPr="008A7454" w:rsidR="008A7454">
        <w:rPr>
          <w:u w:val="single"/>
        </w:rPr>
        <w:t>or functionalized</w:t>
      </w:r>
      <w:r w:rsidR="008A7454">
        <w:t xml:space="preserve"> </w:t>
      </w:r>
      <w:r w:rsidR="00C0126E">
        <w:t>as distribution plant, distribution-related intangible plant, and distribution-related communication equipment and networks properly recorded in FERC USOA 303, 352, 353, 360 through 374, 391, and 397</w:t>
      </w:r>
      <w:r w:rsidR="00BB02D6">
        <w:t xml:space="preserve">, as described in </w:t>
      </w:r>
      <w:r w:rsidRPr="00BB02D6" w:rsidR="00BB02D6">
        <w:t xml:space="preserve">PURA </w:t>
      </w:r>
      <w:r w:rsidRPr="00BB02D6" w:rsidR="00BB02D6">
        <w:rPr>
          <w:rFonts w:eastAsiaTheme="minorHAnsi" w:cs="Arial"/>
          <w:szCs w:val="24"/>
        </w:rPr>
        <w:t>§ 36.053</w:t>
      </w:r>
      <w:r w:rsidRPr="00BB02D6" w:rsidR="00C0126E">
        <w:t>.</w:t>
      </w:r>
      <w:r w:rsidR="008A7454">
        <w:t xml:space="preserve">  It is noteworthy that the wording “or functionalized” was specifically added to PURA </w:t>
      </w:r>
      <w:r w:rsidRPr="00ED6748" w:rsidR="008A7454">
        <w:rPr>
          <w:rFonts w:eastAsiaTheme="minorHAnsi" w:cs="Arial"/>
          <w:szCs w:val="24"/>
        </w:rPr>
        <w:t>§</w:t>
      </w:r>
      <w:r w:rsidR="008A7454">
        <w:rPr>
          <w:rFonts w:eastAsiaTheme="minorHAnsi" w:cs="Arial"/>
          <w:szCs w:val="24"/>
        </w:rPr>
        <w:t> 36.210 through S.B. 1015</w:t>
      </w:r>
      <w:r w:rsidR="0023123F">
        <w:rPr>
          <w:rFonts w:eastAsiaTheme="minorHAnsi" w:cs="Arial"/>
          <w:szCs w:val="24"/>
        </w:rPr>
        <w:t>, thereby providing enhanced clarification of the investment costs eligible for inclusion in a DCRF update application.</w:t>
      </w:r>
    </w:p>
    <w:p w:rsidR="00ED6748" w:rsidRPr="00ED6748" w:rsidP="00ED6748" w14:paraId="3CD15D9A" w14:textId="264498B4">
      <w:pPr>
        <w:tabs>
          <w:tab w:val="left" w:pos="1440"/>
          <w:tab w:val="right" w:leader="dot" w:pos="8640"/>
        </w:tabs>
        <w:spacing w:line="360" w:lineRule="auto"/>
        <w:ind w:left="720" w:hanging="720"/>
        <w:jc w:val="both"/>
        <w:rPr>
          <w:rFonts w:cs="Arial"/>
          <w:color w:val="auto"/>
          <w:szCs w:val="24"/>
          <w:shd w:val="clear" w:color="auto" w:fill="auto"/>
        </w:rPr>
      </w:pPr>
      <w:r w:rsidRPr="00ED6748">
        <w:rPr>
          <w:rFonts w:cs="Arial"/>
          <w:szCs w:val="24"/>
        </w:rPr>
        <w:tab/>
      </w:r>
      <w:r w:rsidRPr="00ED6748">
        <w:rPr>
          <w:rFonts w:cs="Arial"/>
          <w:szCs w:val="24"/>
        </w:rPr>
        <w:tab/>
        <w:t xml:space="preserve">In addition, as directed by General Instructions 5 and 9, the schedules that I sponsor </w:t>
      </w:r>
      <w:r w:rsidR="00035EF2">
        <w:rPr>
          <w:rFonts w:cs="Arial"/>
          <w:szCs w:val="24"/>
        </w:rPr>
        <w:t xml:space="preserve">or co-sponsor </w:t>
      </w:r>
      <w:r w:rsidRPr="00ED6748">
        <w:rPr>
          <w:rFonts w:cs="Arial"/>
          <w:szCs w:val="24"/>
        </w:rPr>
        <w:t xml:space="preserve">in this DCRF </w:t>
      </w:r>
      <w:r w:rsidR="00C0126E">
        <w:rPr>
          <w:rFonts w:cs="Arial"/>
          <w:szCs w:val="24"/>
        </w:rPr>
        <w:t>A</w:t>
      </w:r>
      <w:r w:rsidRPr="00ED6748">
        <w:rPr>
          <w:rFonts w:cs="Arial"/>
          <w:szCs w:val="24"/>
        </w:rPr>
        <w:t xml:space="preserve">pplication have been prepared in a manner consistent with the sample forms reflected in the DCRF-RFP.  As allowed, Oncor has added </w:t>
      </w:r>
      <w:r w:rsidR="00BB02D6">
        <w:rPr>
          <w:rFonts w:cs="Arial"/>
          <w:szCs w:val="24"/>
        </w:rPr>
        <w:t xml:space="preserve">appropriate </w:t>
      </w:r>
      <w:r w:rsidRPr="00ED6748">
        <w:rPr>
          <w:rFonts w:cs="Arial"/>
          <w:szCs w:val="24"/>
        </w:rPr>
        <w:t xml:space="preserve">columns to certain schedules to better communicate summaries of reconciling amounts </w:t>
      </w:r>
      <w:r w:rsidR="00B72629">
        <w:rPr>
          <w:rFonts w:cs="Arial"/>
          <w:szCs w:val="24"/>
        </w:rPr>
        <w:t xml:space="preserve">included in </w:t>
      </w:r>
      <w:r w:rsidRPr="00ED6748">
        <w:rPr>
          <w:rFonts w:cs="Arial"/>
          <w:szCs w:val="24"/>
        </w:rPr>
        <w:t>the costs</w:t>
      </w:r>
      <w:r w:rsidR="00B72629">
        <w:rPr>
          <w:rFonts w:cs="Arial"/>
          <w:szCs w:val="24"/>
        </w:rPr>
        <w:t xml:space="preserve"> presented in this Application</w:t>
      </w:r>
      <w:r w:rsidRPr="00ED6748">
        <w:rPr>
          <w:rFonts w:cs="Arial"/>
          <w:szCs w:val="24"/>
        </w:rPr>
        <w:t>.</w:t>
      </w:r>
    </w:p>
    <w:p w:rsidR="00ED6748" w:rsidRPr="00BB02D6" w:rsidP="00ED6748" w14:paraId="4700B9EE" w14:textId="514EAE2D">
      <w:pPr>
        <w:tabs>
          <w:tab w:val="left" w:pos="1440"/>
          <w:tab w:val="right" w:leader="dot" w:pos="8640"/>
        </w:tabs>
        <w:spacing w:line="360" w:lineRule="auto"/>
        <w:ind w:left="720" w:hanging="720"/>
        <w:jc w:val="both"/>
        <w:rPr>
          <w:rFonts w:cs="Arial"/>
          <w:color w:val="auto"/>
          <w:szCs w:val="24"/>
          <w:shd w:val="clear" w:color="auto" w:fill="auto"/>
        </w:rPr>
      </w:pPr>
      <w:r w:rsidRPr="00BB02D6">
        <w:rPr>
          <w:rFonts w:cs="Arial"/>
          <w:szCs w:val="24"/>
        </w:rPr>
        <w:tab/>
      </w:r>
      <w:r w:rsidRPr="00BB02D6">
        <w:rPr>
          <w:rFonts w:cs="Arial"/>
          <w:szCs w:val="24"/>
        </w:rPr>
        <w:tab/>
        <w:t xml:space="preserve">As further directed by General Instruction 5 of the DCRF-RFP, </w:t>
      </w:r>
      <w:r w:rsidR="00831863">
        <w:rPr>
          <w:rFonts w:cs="Arial"/>
          <w:szCs w:val="24"/>
        </w:rPr>
        <w:t xml:space="preserve">Oncor has provided </w:t>
      </w:r>
      <w:r w:rsidRPr="00BB02D6">
        <w:rPr>
          <w:rFonts w:cs="Arial"/>
          <w:szCs w:val="24"/>
        </w:rPr>
        <w:t xml:space="preserve">applicable workpapers in electronic native format for each schedule.  Included in my testimony workpapers are summaries of plant additions, retirements, and other adjustments as required </w:t>
      </w:r>
      <w:r w:rsidR="00035EF2">
        <w:rPr>
          <w:rFonts w:cs="Arial"/>
          <w:szCs w:val="24"/>
        </w:rPr>
        <w:t>by</w:t>
      </w:r>
      <w:r w:rsidRPr="00BB02D6">
        <w:rPr>
          <w:rFonts w:cs="Arial"/>
          <w:szCs w:val="24"/>
        </w:rPr>
        <w:t xml:space="preserve"> DCRF-RFP General Instructions 2 and 5 (see “Note 1” and “Note 2”).  Together with Company witness M</w:t>
      </w:r>
      <w:r w:rsidRPr="00BB02D6" w:rsidR="00C0126E">
        <w:rPr>
          <w:rFonts w:cs="Arial"/>
          <w:szCs w:val="24"/>
        </w:rPr>
        <w:t>r</w:t>
      </w:r>
      <w:r w:rsidRPr="00BB02D6">
        <w:rPr>
          <w:rFonts w:cs="Arial"/>
          <w:szCs w:val="24"/>
        </w:rPr>
        <w:t xml:space="preserve">. </w:t>
      </w:r>
      <w:r w:rsidRPr="00BB02D6" w:rsidR="00C0126E">
        <w:rPr>
          <w:rFonts w:cs="Arial"/>
          <w:szCs w:val="24"/>
        </w:rPr>
        <w:t>Snelleman</w:t>
      </w:r>
      <w:r w:rsidRPr="00BB02D6">
        <w:rPr>
          <w:rFonts w:cs="Arial"/>
          <w:szCs w:val="24"/>
        </w:rPr>
        <w:t>, I co-sponsor WP/Schedule B-1/1</w:t>
      </w:r>
      <w:r w:rsidRPr="00F15E52" w:rsidR="009511F4">
        <w:rPr>
          <w:rFonts w:cs="Arial"/>
          <w:szCs w:val="24"/>
        </w:rPr>
        <w:t>/</w:t>
      </w:r>
      <w:r w:rsidR="00EA2C41">
        <w:rPr>
          <w:rFonts w:cs="Arial"/>
          <w:szCs w:val="24"/>
        </w:rPr>
        <w:t>6_ME_ 06302023</w:t>
      </w:r>
      <w:r w:rsidRPr="00BB02D6" w:rsidR="00BB02D6">
        <w:rPr>
          <w:rFonts w:cs="Arial"/>
          <w:szCs w:val="24"/>
        </w:rPr>
        <w:t xml:space="preserve"> which</w:t>
      </w:r>
      <w:r w:rsidRPr="00BB02D6">
        <w:rPr>
          <w:rFonts w:cs="Arial"/>
          <w:szCs w:val="24"/>
        </w:rPr>
        <w:t xml:space="preserve"> list</w:t>
      </w:r>
      <w:r w:rsidRPr="00BB02D6" w:rsidR="00BB02D6">
        <w:rPr>
          <w:rFonts w:cs="Arial"/>
          <w:szCs w:val="24"/>
        </w:rPr>
        <w:t>s</w:t>
      </w:r>
      <w:r w:rsidRPr="00BB02D6">
        <w:rPr>
          <w:rFonts w:cs="Arial"/>
          <w:szCs w:val="24"/>
        </w:rPr>
        <w:t xml:space="preserve"> distribution project additions that exceed $100,000 for the</w:t>
      </w:r>
      <w:r w:rsidR="002B55F7">
        <w:rPr>
          <w:rFonts w:cs="Arial"/>
          <w:szCs w:val="24"/>
        </w:rPr>
        <w:t xml:space="preserve"> </w:t>
      </w:r>
      <w:r w:rsidR="007B388C">
        <w:rPr>
          <w:rFonts w:cs="Arial"/>
          <w:szCs w:val="24"/>
        </w:rPr>
        <w:t xml:space="preserve">first six months of </w:t>
      </w:r>
      <w:r w:rsidR="002B55F7">
        <w:rPr>
          <w:rFonts w:cs="Arial"/>
          <w:szCs w:val="24"/>
        </w:rPr>
        <w:t>2023</w:t>
      </w:r>
      <w:r w:rsidRPr="00BB02D6">
        <w:rPr>
          <w:rFonts w:cs="Arial"/>
          <w:szCs w:val="24"/>
        </w:rPr>
        <w:t>, as well as WP/Schedule B-5/</w:t>
      </w:r>
      <w:r w:rsidRPr="00F15E52">
        <w:rPr>
          <w:rFonts w:cs="Arial"/>
          <w:szCs w:val="24"/>
        </w:rPr>
        <w:t>1/</w:t>
      </w:r>
      <w:r w:rsidR="00EA2C41">
        <w:rPr>
          <w:rFonts w:cs="Arial"/>
          <w:szCs w:val="24"/>
        </w:rPr>
        <w:t>6_ME_06302023</w:t>
      </w:r>
      <w:r w:rsidRPr="00BB02D6">
        <w:rPr>
          <w:rFonts w:cs="Arial"/>
          <w:szCs w:val="24"/>
        </w:rPr>
        <w:t xml:space="preserve"> which </w:t>
      </w:r>
      <w:r w:rsidRPr="00BB02D6" w:rsidR="00BB02D6">
        <w:rPr>
          <w:rFonts w:cs="Arial"/>
          <w:szCs w:val="24"/>
        </w:rPr>
        <w:t>details</w:t>
      </w:r>
      <w:r w:rsidRPr="00BB02D6">
        <w:rPr>
          <w:rFonts w:cs="Arial"/>
          <w:szCs w:val="24"/>
        </w:rPr>
        <w:t xml:space="preserve"> </w:t>
      </w:r>
      <w:r w:rsidRPr="00BB02D6" w:rsidR="00BB02D6">
        <w:rPr>
          <w:rFonts w:cs="Arial"/>
          <w:szCs w:val="24"/>
        </w:rPr>
        <w:t xml:space="preserve">individual </w:t>
      </w:r>
      <w:r w:rsidRPr="00BB02D6">
        <w:rPr>
          <w:rFonts w:cs="Arial"/>
          <w:szCs w:val="24"/>
        </w:rPr>
        <w:t xml:space="preserve">distribution project retirements over $100,000 </w:t>
      </w:r>
      <w:r w:rsidRPr="00BB02D6" w:rsidR="00BB02D6">
        <w:rPr>
          <w:rFonts w:cs="Arial"/>
          <w:szCs w:val="24"/>
        </w:rPr>
        <w:t xml:space="preserve">occurring during </w:t>
      </w:r>
      <w:r w:rsidR="002B55F7">
        <w:rPr>
          <w:rFonts w:cs="Arial"/>
          <w:szCs w:val="24"/>
        </w:rPr>
        <w:t xml:space="preserve">the </w:t>
      </w:r>
      <w:r w:rsidR="007B388C">
        <w:rPr>
          <w:rFonts w:cs="Arial"/>
          <w:szCs w:val="24"/>
        </w:rPr>
        <w:t>six-month period e</w:t>
      </w:r>
      <w:r w:rsidR="002B55F7">
        <w:rPr>
          <w:rFonts w:cs="Arial"/>
          <w:szCs w:val="24"/>
        </w:rPr>
        <w:t xml:space="preserve">nding June 30, </w:t>
      </w:r>
      <w:r w:rsidRPr="00BB02D6" w:rsidR="00BB02D6">
        <w:rPr>
          <w:rFonts w:cs="Arial"/>
          <w:szCs w:val="24"/>
        </w:rPr>
        <w:t>202</w:t>
      </w:r>
      <w:r w:rsidR="002B55F7">
        <w:rPr>
          <w:rFonts w:cs="Arial"/>
          <w:szCs w:val="24"/>
        </w:rPr>
        <w:t>3</w:t>
      </w:r>
      <w:r w:rsidRPr="00BB02D6">
        <w:rPr>
          <w:rFonts w:cs="Arial"/>
          <w:szCs w:val="24"/>
        </w:rPr>
        <w:t>.</w:t>
      </w:r>
      <w:r w:rsidR="007B388C">
        <w:rPr>
          <w:rFonts w:cs="Arial"/>
          <w:szCs w:val="24"/>
        </w:rPr>
        <w:t xml:space="preserve">  Separate workpapers identifying distribution and distribution-related project additions and retirements exceeding $100,000 are</w:t>
      </w:r>
      <w:r w:rsidR="00E3681E">
        <w:rPr>
          <w:rFonts w:cs="Arial"/>
          <w:szCs w:val="24"/>
        </w:rPr>
        <w:t xml:space="preserve"> provided in a similar format for the </w:t>
      </w:r>
      <w:r w:rsidR="00E3681E">
        <w:rPr>
          <w:rFonts w:cs="Arial"/>
          <w:szCs w:val="24"/>
        </w:rPr>
        <w:t>calendar year of 2022, as addressed in Oncor’s DCRF/WDCRF Application filed in Docket No. 5</w:t>
      </w:r>
      <w:r w:rsidR="00D366B8">
        <w:rPr>
          <w:rFonts w:cs="Arial"/>
          <w:szCs w:val="24"/>
        </w:rPr>
        <w:t>5</w:t>
      </w:r>
      <w:r w:rsidR="00E3681E">
        <w:rPr>
          <w:rFonts w:cs="Arial"/>
          <w:szCs w:val="24"/>
        </w:rPr>
        <w:t>190.</w:t>
      </w:r>
    </w:p>
    <w:p w:rsidR="00ED6748" w:rsidRPr="00BB02D6" w:rsidP="00ED6748" w14:paraId="01E9C944" w14:textId="77777777">
      <w:pPr>
        <w:tabs>
          <w:tab w:val="left" w:pos="1440"/>
          <w:tab w:val="right" w:leader="dot" w:pos="8640"/>
        </w:tabs>
        <w:spacing w:line="360" w:lineRule="auto"/>
        <w:ind w:left="720" w:hanging="720"/>
        <w:jc w:val="both"/>
        <w:rPr>
          <w:rFonts w:cs="Arial"/>
          <w:color w:val="auto"/>
          <w:szCs w:val="24"/>
          <w:shd w:val="clear" w:color="auto" w:fill="auto"/>
        </w:rPr>
      </w:pPr>
      <w:r w:rsidRPr="00BB02D6">
        <w:rPr>
          <w:rFonts w:cs="Arial"/>
          <w:szCs w:val="24"/>
        </w:rPr>
        <w:t>Q.</w:t>
      </w:r>
      <w:r w:rsidRPr="00BB02D6">
        <w:rPr>
          <w:rFonts w:cs="Arial"/>
          <w:szCs w:val="24"/>
        </w:rPr>
        <w:tab/>
        <w:t>HAS ONCOR INCLUDED COSTS OR RETURN COMPONENTS IN ITS APPLICATION THAT ARE NOT APPROPRIATELY ELIGIBLE FOR RECOVERY IN A DCRF UPDATE?</w:t>
      </w:r>
    </w:p>
    <w:p w:rsidR="00ED6748" w:rsidRPr="00BB02D6" w:rsidP="00ED6748" w14:paraId="662DFE0B" w14:textId="42C73B2B">
      <w:pPr>
        <w:tabs>
          <w:tab w:val="left" w:pos="1440"/>
          <w:tab w:val="right" w:leader="dot" w:pos="8640"/>
        </w:tabs>
        <w:spacing w:line="360" w:lineRule="auto"/>
        <w:ind w:left="720" w:hanging="720"/>
        <w:jc w:val="both"/>
        <w:rPr>
          <w:rFonts w:eastAsiaTheme="minorHAnsi" w:cs="Arial"/>
          <w:color w:val="auto"/>
          <w:szCs w:val="24"/>
          <w:shd w:val="clear" w:color="auto" w:fill="auto"/>
        </w:rPr>
      </w:pPr>
      <w:r w:rsidRPr="00BB02D6">
        <w:rPr>
          <w:rFonts w:cs="Arial"/>
          <w:szCs w:val="24"/>
        </w:rPr>
        <w:t>A.</w:t>
      </w:r>
      <w:r w:rsidRPr="00BB02D6">
        <w:rPr>
          <w:rFonts w:cs="Arial"/>
          <w:szCs w:val="24"/>
        </w:rPr>
        <w:tab/>
        <w:t xml:space="preserve">No.  </w:t>
      </w:r>
      <w:r w:rsidRPr="00BB02D6" w:rsidR="00BB02D6">
        <w:rPr>
          <w:rFonts w:cs="Arial"/>
          <w:szCs w:val="24"/>
        </w:rPr>
        <w:t>U</w:t>
      </w:r>
      <w:r w:rsidRPr="00BB02D6">
        <w:rPr>
          <w:rFonts w:cs="Arial"/>
          <w:szCs w:val="24"/>
        </w:rPr>
        <w:t xml:space="preserve">tilizing methodologies consistent with Oncor’s prior functionalization practices (including those used in Docket No. </w:t>
      </w:r>
      <w:r w:rsidRPr="00BB02D6" w:rsidR="00BB02D6">
        <w:rPr>
          <w:rFonts w:cs="Arial"/>
          <w:szCs w:val="24"/>
        </w:rPr>
        <w:t>53601</w:t>
      </w:r>
      <w:r w:rsidRPr="00BB02D6">
        <w:rPr>
          <w:rFonts w:cs="Arial"/>
          <w:szCs w:val="24"/>
        </w:rPr>
        <w:t xml:space="preserve">) involving substation project additions that contain both transmission and distribution costs, I have ensured that costs assigned or allocated in this DCRF </w:t>
      </w:r>
      <w:r w:rsidRPr="00BB02D6" w:rsidR="00BB02D6">
        <w:rPr>
          <w:rFonts w:cs="Arial"/>
          <w:szCs w:val="24"/>
        </w:rPr>
        <w:t>A</w:t>
      </w:r>
      <w:r w:rsidRPr="00BB02D6">
        <w:rPr>
          <w:rFonts w:cs="Arial"/>
          <w:szCs w:val="24"/>
        </w:rPr>
        <w:t xml:space="preserve">pplication are exclusive from costs assigned to the Company’s transmission business operations.  My Exhibit WAL-2 provides a </w:t>
      </w:r>
      <w:r w:rsidR="009A1212">
        <w:rPr>
          <w:rFonts w:cs="Arial"/>
          <w:szCs w:val="24"/>
        </w:rPr>
        <w:t>summary</w:t>
      </w:r>
      <w:r w:rsidRPr="00BB02D6">
        <w:rPr>
          <w:rFonts w:cs="Arial"/>
          <w:szCs w:val="24"/>
        </w:rPr>
        <w:t xml:space="preserve"> of </w:t>
      </w:r>
      <w:r w:rsidRPr="00BB02D6" w:rsidR="009A1212">
        <w:rPr>
          <w:rFonts w:cs="Arial"/>
          <w:szCs w:val="24"/>
        </w:rPr>
        <w:t>the</w:t>
      </w:r>
      <w:r w:rsidR="009A1212">
        <w:rPr>
          <w:rFonts w:cs="Arial"/>
          <w:szCs w:val="24"/>
        </w:rPr>
        <w:t xml:space="preserve"> allocation of the </w:t>
      </w:r>
      <w:r w:rsidR="009511F4">
        <w:rPr>
          <w:rFonts w:cs="Arial"/>
          <w:szCs w:val="24"/>
        </w:rPr>
        <w:t>June 30, 2023 account</w:t>
      </w:r>
      <w:r w:rsidR="009A1212">
        <w:rPr>
          <w:rFonts w:cs="Arial"/>
          <w:szCs w:val="24"/>
        </w:rPr>
        <w:t xml:space="preserve"> balances of </w:t>
      </w:r>
      <w:r w:rsidRPr="00BB02D6">
        <w:rPr>
          <w:rFonts w:cs="Arial"/>
          <w:szCs w:val="24"/>
        </w:rPr>
        <w:t xml:space="preserve">station-related </w:t>
      </w:r>
      <w:r w:rsidR="009A1212">
        <w:rPr>
          <w:rFonts w:cs="Arial"/>
          <w:szCs w:val="24"/>
        </w:rPr>
        <w:t>costs between</w:t>
      </w:r>
      <w:r w:rsidRPr="00BB02D6">
        <w:rPr>
          <w:rFonts w:cs="Arial"/>
          <w:szCs w:val="24"/>
        </w:rPr>
        <w:t xml:space="preserve"> Oncor’s</w:t>
      </w:r>
      <w:r w:rsidRPr="00BB02D6" w:rsidR="00BB02D6">
        <w:rPr>
          <w:rFonts w:cs="Arial"/>
          <w:szCs w:val="24"/>
        </w:rPr>
        <w:t xml:space="preserve"> </w:t>
      </w:r>
      <w:r w:rsidR="00B05B8E">
        <w:rPr>
          <w:rFonts w:cs="Arial"/>
          <w:szCs w:val="24"/>
        </w:rPr>
        <w:t>investment in t</w:t>
      </w:r>
      <w:r w:rsidR="00852608">
        <w:rPr>
          <w:rFonts w:cs="Arial"/>
          <w:szCs w:val="24"/>
        </w:rPr>
        <w:t>ransmission (“T</w:t>
      </w:r>
      <w:r w:rsidR="00B05B8E">
        <w:rPr>
          <w:rFonts w:cs="Arial"/>
          <w:szCs w:val="24"/>
        </w:rPr>
        <w:t>RAN</w:t>
      </w:r>
      <w:r w:rsidR="00852608">
        <w:rPr>
          <w:rFonts w:cs="Arial"/>
          <w:szCs w:val="24"/>
        </w:rPr>
        <w:t xml:space="preserve">”) assets </w:t>
      </w:r>
      <w:r w:rsidRPr="00BB02D6">
        <w:rPr>
          <w:rFonts w:cs="Arial"/>
          <w:szCs w:val="24"/>
        </w:rPr>
        <w:t>and th</w:t>
      </w:r>
      <w:r w:rsidR="00852608">
        <w:rPr>
          <w:rFonts w:cs="Arial"/>
          <w:szCs w:val="24"/>
        </w:rPr>
        <w:t>ose reflected in this</w:t>
      </w:r>
      <w:r w:rsidRPr="00BB02D6">
        <w:rPr>
          <w:rFonts w:cs="Arial"/>
          <w:szCs w:val="24"/>
        </w:rPr>
        <w:t xml:space="preserve"> DCRF update application.</w:t>
      </w:r>
    </w:p>
    <w:p w:rsidR="00ED6748" w:rsidRPr="00BB02D6" w:rsidP="00ED6748" w14:paraId="0D77D44B" w14:textId="71194FF2">
      <w:pPr>
        <w:tabs>
          <w:tab w:val="left" w:pos="1440"/>
          <w:tab w:val="right" w:leader="dot" w:pos="8640"/>
        </w:tabs>
        <w:spacing w:line="360" w:lineRule="auto"/>
        <w:ind w:left="720" w:hanging="720"/>
        <w:jc w:val="both"/>
        <w:rPr>
          <w:rFonts w:cs="Arial"/>
          <w:color w:val="auto"/>
          <w:szCs w:val="24"/>
          <w:shd w:val="clear" w:color="auto" w:fill="auto"/>
        </w:rPr>
      </w:pPr>
      <w:r w:rsidRPr="00BB02D6">
        <w:rPr>
          <w:rFonts w:cs="Arial"/>
          <w:szCs w:val="24"/>
        </w:rPr>
        <w:t>Q.</w:t>
      </w:r>
      <w:r w:rsidRPr="00BB02D6">
        <w:rPr>
          <w:rFonts w:cs="Arial"/>
          <w:szCs w:val="24"/>
        </w:rPr>
        <w:tab/>
        <w:t>HAS ONCOR INCLUDED ANY INDIRECT CORPORATE COSTS OR CAPITALIZED O&amp;M COSTS IN THIS DCRF APPLICATION?</w:t>
      </w:r>
    </w:p>
    <w:p w:rsidR="00ED6748" w:rsidP="00ED6748" w14:paraId="491801FC" w14:textId="702AE5EF">
      <w:pPr>
        <w:tabs>
          <w:tab w:val="left" w:pos="1440"/>
          <w:tab w:val="right" w:leader="dot" w:pos="8640"/>
        </w:tabs>
        <w:spacing w:line="360" w:lineRule="auto"/>
        <w:ind w:left="720" w:hanging="720"/>
        <w:jc w:val="both"/>
        <w:rPr>
          <w:rFonts w:cs="Arial"/>
          <w:color w:val="auto"/>
          <w:szCs w:val="24"/>
          <w:shd w:val="clear" w:color="auto" w:fill="auto"/>
        </w:rPr>
      </w:pPr>
      <w:r w:rsidRPr="00BB02D6">
        <w:rPr>
          <w:rFonts w:cs="Arial"/>
          <w:szCs w:val="24"/>
        </w:rPr>
        <w:t>A.</w:t>
      </w:r>
      <w:r w:rsidRPr="00BB02D6">
        <w:rPr>
          <w:rFonts w:cs="Arial"/>
          <w:szCs w:val="24"/>
        </w:rPr>
        <w:tab/>
        <w:t xml:space="preserve">No.  The Company has not capitalized or otherwise reflected any </w:t>
      </w:r>
      <w:r w:rsidR="00054BFF">
        <w:rPr>
          <w:rFonts w:cs="Arial"/>
          <w:szCs w:val="24"/>
        </w:rPr>
        <w:t>“</w:t>
      </w:r>
      <w:r w:rsidRPr="00BB02D6">
        <w:rPr>
          <w:rFonts w:cs="Arial"/>
          <w:szCs w:val="24"/>
        </w:rPr>
        <w:t>indirect corporate costs or capitalized O&amp;M expenses</w:t>
      </w:r>
      <w:r w:rsidR="00054BFF">
        <w:rPr>
          <w:rFonts w:cs="Arial"/>
          <w:szCs w:val="24"/>
        </w:rPr>
        <w:t>”</w:t>
      </w:r>
      <w:r w:rsidRPr="00BB02D6">
        <w:rPr>
          <w:rFonts w:cs="Arial"/>
          <w:szCs w:val="24"/>
        </w:rPr>
        <w:t xml:space="preserve"> </w:t>
      </w:r>
      <w:r w:rsidRPr="001C3757">
        <w:rPr>
          <w:rFonts w:cs="Arial"/>
          <w:iCs/>
          <w:szCs w:val="24"/>
        </w:rPr>
        <w:t>(</w:t>
      </w:r>
      <w:r w:rsidRPr="00BB02D6">
        <w:rPr>
          <w:rFonts w:cs="Arial"/>
          <w:i/>
          <w:szCs w:val="24"/>
        </w:rPr>
        <w:t>e.g.</w:t>
      </w:r>
      <w:r w:rsidRPr="00BB02D6">
        <w:rPr>
          <w:rFonts w:cs="Arial"/>
          <w:szCs w:val="24"/>
        </w:rPr>
        <w:t>, expenses that have been deferred or amortized as a regulatory asset or liability) in this filing.  Accordingly, the workpapers do not address any explanations or criteria used to identify any excluded costs, as directed in General Instruction 5 of the DCRF-RFP (see “Note 1”).</w:t>
      </w:r>
    </w:p>
    <w:p w:rsidR="007B388C" w:rsidP="00ED6748" w14:paraId="38C3E8C7" w14:textId="2A7C1CDB">
      <w:pPr>
        <w:tabs>
          <w:tab w:val="left" w:pos="1440"/>
          <w:tab w:val="right" w:leader="dot" w:pos="8640"/>
        </w:tabs>
        <w:spacing w:line="360" w:lineRule="auto"/>
        <w:ind w:left="720" w:hanging="720"/>
        <w:jc w:val="both"/>
        <w:rPr>
          <w:rFonts w:cs="Arial"/>
          <w:color w:val="auto"/>
          <w:szCs w:val="24"/>
          <w:shd w:val="clear" w:color="auto" w:fill="auto"/>
        </w:rPr>
      </w:pPr>
      <w:r>
        <w:rPr>
          <w:rFonts w:cs="Arial"/>
          <w:szCs w:val="24"/>
        </w:rPr>
        <w:t>Q.</w:t>
      </w:r>
      <w:r>
        <w:rPr>
          <w:rFonts w:cs="Arial"/>
          <w:szCs w:val="24"/>
        </w:rPr>
        <w:tab/>
        <w:t>HAS THE COMMISSION PROVIDED GUIDANCE ON WHAT CONSTITUTES AN INDIRECT CORPORATE COST?</w:t>
      </w:r>
    </w:p>
    <w:p w:rsidR="007B388C" w:rsidRPr="00BB02D6" w:rsidP="00ED6748" w14:paraId="766BC76F" w14:textId="2C68CE92">
      <w:pPr>
        <w:tabs>
          <w:tab w:val="left" w:pos="1440"/>
          <w:tab w:val="right" w:leader="dot" w:pos="8640"/>
        </w:tabs>
        <w:spacing w:line="360" w:lineRule="auto"/>
        <w:ind w:left="720" w:hanging="720"/>
        <w:jc w:val="both"/>
        <w:rPr>
          <w:rFonts w:cs="Arial"/>
          <w:color w:val="auto"/>
          <w:szCs w:val="24"/>
          <w:shd w:val="clear" w:color="auto" w:fill="auto"/>
        </w:rPr>
      </w:pPr>
      <w:r>
        <w:rPr>
          <w:rFonts w:cs="Arial"/>
          <w:szCs w:val="24"/>
        </w:rPr>
        <w:t>A.</w:t>
      </w:r>
      <w:r>
        <w:rPr>
          <w:rFonts w:cs="Arial"/>
          <w:szCs w:val="24"/>
        </w:rPr>
        <w:tab/>
        <w:t xml:space="preserve">Yes.  </w:t>
      </w:r>
      <w:r w:rsidR="00126A5E">
        <w:rPr>
          <w:rFonts w:cs="Arial"/>
          <w:szCs w:val="24"/>
        </w:rPr>
        <w:t>In Project No. 39465</w:t>
      </w:r>
      <w:r w:rsidR="00A76D54">
        <w:rPr>
          <w:rFonts w:cs="Arial"/>
          <w:szCs w:val="24"/>
        </w:rPr>
        <w:t>,</w:t>
      </w:r>
      <w:r>
        <w:rPr>
          <w:rStyle w:val="FootnoteReference"/>
          <w:rFonts w:cs="Arial"/>
          <w:szCs w:val="24"/>
        </w:rPr>
        <w:footnoteReference w:id="5"/>
      </w:r>
      <w:r w:rsidR="00A76D54">
        <w:rPr>
          <w:rFonts w:cs="Arial"/>
          <w:szCs w:val="24"/>
        </w:rPr>
        <w:t xml:space="preserve"> the Commission noted that the “proposed rule’s definition of “indirect corporate costs” confused rather than clarified the issue of what costs are properly includable as distribution invested capital.  The definition of distribution invested capital in the adopted rule excludes indirect </w:t>
      </w:r>
      <w:r w:rsidR="00A76D54">
        <w:rPr>
          <w:rFonts w:cs="Arial"/>
          <w:szCs w:val="24"/>
        </w:rPr>
        <w:t xml:space="preserve">corporate costs without the need to define that term.  Therefore, the adopted rule does not contain a definition of indirect corporate costs.”  </w:t>
      </w:r>
      <w:r w:rsidR="007F5A4E">
        <w:rPr>
          <w:rFonts w:cs="Arial"/>
          <w:szCs w:val="24"/>
        </w:rPr>
        <w:t>Thus, rather than specifying assets or projects that are arguably indirectly necessary to provide distribution service (</w:t>
      </w:r>
      <w:r w:rsidRPr="007F5A4E" w:rsidR="007F5A4E">
        <w:rPr>
          <w:rFonts w:cs="Arial"/>
          <w:i/>
          <w:iCs/>
          <w:szCs w:val="24"/>
        </w:rPr>
        <w:t>e.g.</w:t>
      </w:r>
      <w:r w:rsidR="007F5A4E">
        <w:rPr>
          <w:rFonts w:cs="Arial"/>
          <w:szCs w:val="24"/>
        </w:rPr>
        <w:t xml:space="preserve">, “corporate aircraft and artwork”), the Commission opted to identify qualifying </w:t>
      </w:r>
      <w:r w:rsidR="00684284">
        <w:rPr>
          <w:rFonts w:cs="Arial"/>
          <w:szCs w:val="24"/>
        </w:rPr>
        <w:t xml:space="preserve">invested capital that is “categorized as distribution plant, distribution-related intangible plant, and distribution-related communication equipment and networks” as investment recorded in specific FERC accounts.  Specifically, the Project No. 39465 Order explains that </w:t>
      </w:r>
      <w:r w:rsidR="009511F4">
        <w:rPr>
          <w:rFonts w:cs="Arial"/>
          <w:szCs w:val="24"/>
        </w:rPr>
        <w:t xml:space="preserve">the </w:t>
      </w:r>
      <w:r w:rsidR="00723186">
        <w:rPr>
          <w:rFonts w:cs="Arial"/>
          <w:szCs w:val="24"/>
        </w:rPr>
        <w:t xml:space="preserve">benchmark for investment inclusion in a DCRF update is </w:t>
      </w:r>
      <w:r w:rsidR="00684284">
        <w:rPr>
          <w:rFonts w:cs="Arial"/>
          <w:szCs w:val="24"/>
        </w:rPr>
        <w:t>“the FERC uniform system of accounts (USOA)</w:t>
      </w:r>
      <w:r w:rsidR="00723186">
        <w:rPr>
          <w:rFonts w:cs="Arial"/>
          <w:szCs w:val="24"/>
        </w:rPr>
        <w:t xml:space="preserve">” and that PURA </w:t>
      </w:r>
      <w:r w:rsidRPr="00054BFF" w:rsidR="00723186">
        <w:rPr>
          <w:rFonts w:eastAsiaTheme="minorHAnsi" w:cs="Arial"/>
          <w:szCs w:val="24"/>
        </w:rPr>
        <w:t>§</w:t>
      </w:r>
      <w:r w:rsidR="00723186">
        <w:rPr>
          <w:rFonts w:eastAsiaTheme="minorHAnsi" w:cs="Arial"/>
          <w:szCs w:val="24"/>
        </w:rPr>
        <w:t>36.210 circumscribes</w:t>
      </w:r>
      <w:r w:rsidRPr="00054BFF" w:rsidR="00723186">
        <w:rPr>
          <w:rFonts w:eastAsiaTheme="minorHAnsi" w:cs="Arial"/>
          <w:szCs w:val="24"/>
        </w:rPr>
        <w:t xml:space="preserve"> </w:t>
      </w:r>
      <w:r w:rsidR="00723186">
        <w:rPr>
          <w:rFonts w:cs="Arial"/>
          <w:szCs w:val="24"/>
        </w:rPr>
        <w:t>“the Commission’s discretion in expanding the definition of distribution invested capital beyond the well-established standards in the FERC USOA.”</w:t>
      </w:r>
      <w:r>
        <w:rPr>
          <w:rStyle w:val="FootnoteReference"/>
          <w:rFonts w:cs="Arial"/>
          <w:szCs w:val="24"/>
        </w:rPr>
        <w:footnoteReference w:id="6"/>
      </w:r>
      <w:r w:rsidR="00723186">
        <w:rPr>
          <w:rFonts w:cs="Arial"/>
          <w:szCs w:val="24"/>
        </w:rPr>
        <w:t xml:space="preserve">  Thus, consistent with the </w:t>
      </w:r>
      <w:r w:rsidR="00E7680B">
        <w:rPr>
          <w:rFonts w:cs="Arial"/>
          <w:szCs w:val="24"/>
        </w:rPr>
        <w:t xml:space="preserve">Commission’s </w:t>
      </w:r>
      <w:r w:rsidR="00723186">
        <w:rPr>
          <w:rFonts w:cs="Arial"/>
          <w:szCs w:val="24"/>
        </w:rPr>
        <w:t>treatment of similar intangible</w:t>
      </w:r>
      <w:r w:rsidR="00E7680B">
        <w:rPr>
          <w:rFonts w:cs="Arial"/>
          <w:szCs w:val="24"/>
        </w:rPr>
        <w:t xml:space="preserve"> and communication equipment and networks</w:t>
      </w:r>
      <w:r w:rsidR="00723186">
        <w:rPr>
          <w:rFonts w:cs="Arial"/>
          <w:szCs w:val="24"/>
        </w:rPr>
        <w:t xml:space="preserve"> in Oncor’s base-rate proceedings and</w:t>
      </w:r>
      <w:r w:rsidR="00E7680B">
        <w:rPr>
          <w:rFonts w:cs="Arial"/>
          <w:szCs w:val="24"/>
        </w:rPr>
        <w:t xml:space="preserve">, as reflected in </w:t>
      </w:r>
      <w:r w:rsidR="00723186">
        <w:rPr>
          <w:rFonts w:cs="Arial"/>
          <w:szCs w:val="24"/>
        </w:rPr>
        <w:t>the</w:t>
      </w:r>
      <w:r w:rsidR="00F15E52">
        <w:rPr>
          <w:rFonts w:cs="Arial"/>
          <w:szCs w:val="24"/>
        </w:rPr>
        <w:t xml:space="preserve"> Commission-approved</w:t>
      </w:r>
      <w:r w:rsidR="00723186">
        <w:rPr>
          <w:rFonts w:cs="Arial"/>
          <w:szCs w:val="24"/>
        </w:rPr>
        <w:t xml:space="preserve"> DCRF baseline, amounts appropriately recorded to the FERC USOA</w:t>
      </w:r>
      <w:r w:rsidR="00E7680B">
        <w:rPr>
          <w:rFonts w:cs="Arial"/>
          <w:szCs w:val="24"/>
        </w:rPr>
        <w:t xml:space="preserve"> accounts prescribed in 16 TAC </w:t>
      </w:r>
      <w:r w:rsidRPr="00054BFF" w:rsidR="00E7680B">
        <w:rPr>
          <w:rFonts w:eastAsiaTheme="minorHAnsi" w:cs="Arial"/>
          <w:szCs w:val="24"/>
        </w:rPr>
        <w:t xml:space="preserve">§ </w:t>
      </w:r>
      <w:r w:rsidRPr="00054BFF" w:rsidR="00E7680B">
        <w:rPr>
          <w:rFonts w:cs="Arial"/>
          <w:szCs w:val="24"/>
        </w:rPr>
        <w:t>25.</w:t>
      </w:r>
      <w:r w:rsidR="00E7680B">
        <w:rPr>
          <w:rFonts w:cs="Arial"/>
          <w:szCs w:val="24"/>
        </w:rPr>
        <w:t>243(b)(3) are presumed by Oncor to be eligible for inclusion in a DCRF update proceeding.</w:t>
      </w:r>
      <w:r>
        <w:rPr>
          <w:rStyle w:val="FootnoteReference"/>
          <w:rFonts w:cs="Arial"/>
          <w:szCs w:val="24"/>
        </w:rPr>
        <w:footnoteReference w:id="7"/>
      </w:r>
    </w:p>
    <w:p w:rsidR="00ED6748" w:rsidRPr="00054BFF" w:rsidP="00ED6748" w14:paraId="3910F7FD" w14:textId="77777777">
      <w:pPr>
        <w:tabs>
          <w:tab w:val="left" w:pos="1440"/>
          <w:tab w:val="right" w:leader="dot" w:pos="8640"/>
        </w:tabs>
        <w:spacing w:line="360" w:lineRule="auto"/>
        <w:ind w:left="720" w:hanging="720"/>
        <w:jc w:val="both"/>
        <w:rPr>
          <w:rFonts w:cs="Arial"/>
          <w:color w:val="auto"/>
          <w:szCs w:val="24"/>
          <w:shd w:val="clear" w:color="auto" w:fill="auto"/>
        </w:rPr>
      </w:pPr>
      <w:r w:rsidRPr="00054BFF">
        <w:rPr>
          <w:rFonts w:cs="Arial"/>
          <w:szCs w:val="24"/>
        </w:rPr>
        <w:t>Q.</w:t>
      </w:r>
      <w:r w:rsidRPr="00054BFF">
        <w:rPr>
          <w:rFonts w:cs="Arial"/>
          <w:szCs w:val="24"/>
        </w:rPr>
        <w:tab/>
        <w:t>ARE ANY OF THE COSTS BEING SOUGHT FOR INCLUSION IN THIS DCRF APPLICATION REFLECTED IN ANY OTHER REGULATORY RECOVERY MECHANISM OR SURCHARGE?</w:t>
      </w:r>
    </w:p>
    <w:p w:rsidR="00ED6748" w:rsidRPr="00054BFF" w:rsidP="00ED6748" w14:paraId="5B067DC6" w14:textId="50450A31">
      <w:pPr>
        <w:tabs>
          <w:tab w:val="left" w:pos="1440"/>
          <w:tab w:val="right" w:leader="dot" w:pos="8640"/>
        </w:tabs>
        <w:spacing w:line="360" w:lineRule="auto"/>
        <w:ind w:left="720" w:hanging="720"/>
        <w:jc w:val="both"/>
        <w:rPr>
          <w:rFonts w:cs="Arial"/>
          <w:color w:val="auto"/>
          <w:szCs w:val="24"/>
          <w:shd w:val="clear" w:color="auto" w:fill="auto"/>
        </w:rPr>
      </w:pPr>
      <w:r w:rsidRPr="00054BFF">
        <w:rPr>
          <w:rFonts w:cs="Arial"/>
          <w:szCs w:val="24"/>
        </w:rPr>
        <w:t>A.</w:t>
      </w:r>
      <w:r w:rsidRPr="00054BFF">
        <w:rPr>
          <w:rFonts w:cs="Arial"/>
          <w:szCs w:val="24"/>
        </w:rPr>
        <w:tab/>
        <w:t xml:space="preserve">No.  </w:t>
      </w:r>
      <w:r w:rsidR="00035EF2">
        <w:rPr>
          <w:rFonts w:cs="Arial"/>
          <w:szCs w:val="24"/>
        </w:rPr>
        <w:t>The costs and investments sought for inclusion in this DCRF Application are not included in any other cost recovery mechanism.</w:t>
      </w:r>
    </w:p>
    <w:p w:rsidR="00ED6748" w:rsidRPr="00054BFF" w:rsidP="00ED6748" w14:paraId="2313FF1B" w14:textId="03A4E301">
      <w:pPr>
        <w:tabs>
          <w:tab w:val="left" w:pos="1440"/>
          <w:tab w:val="right" w:leader="dot" w:pos="8640"/>
        </w:tabs>
        <w:spacing w:line="360" w:lineRule="auto"/>
        <w:ind w:left="720" w:hanging="720"/>
        <w:jc w:val="both"/>
        <w:rPr>
          <w:rFonts w:cs="Arial"/>
          <w:color w:val="auto"/>
          <w:szCs w:val="24"/>
          <w:shd w:val="clear" w:color="auto" w:fill="auto"/>
        </w:rPr>
      </w:pPr>
      <w:r w:rsidRPr="00054BFF">
        <w:rPr>
          <w:rFonts w:cs="Arial"/>
          <w:szCs w:val="24"/>
        </w:rPr>
        <w:t>Q.</w:t>
      </w:r>
      <w:r w:rsidRPr="00054BFF">
        <w:rPr>
          <w:rFonts w:cs="Arial"/>
          <w:szCs w:val="24"/>
        </w:rPr>
        <w:tab/>
        <w:t>DOES THIS DCRF APPLICATION INCLUDE THE MOST RECENT EARNINGS MONITORING REPORT FILED BY ONCOR WITH THE C</w:t>
      </w:r>
      <w:r w:rsidR="00B253A8">
        <w:rPr>
          <w:rFonts w:cs="Arial"/>
          <w:szCs w:val="24"/>
        </w:rPr>
        <w:t>OMMISSION</w:t>
      </w:r>
      <w:r w:rsidRPr="00054BFF">
        <w:rPr>
          <w:rFonts w:cs="Arial"/>
          <w:szCs w:val="24"/>
        </w:rPr>
        <w:t xml:space="preserve"> PURSUANT TO 16 TAC </w:t>
      </w:r>
      <w:r w:rsidRPr="00054BFF">
        <w:rPr>
          <w:rFonts w:eastAsiaTheme="minorHAnsi" w:cs="Arial"/>
          <w:szCs w:val="24"/>
        </w:rPr>
        <w:t xml:space="preserve">§ </w:t>
      </w:r>
      <w:r w:rsidRPr="00054BFF">
        <w:rPr>
          <w:rFonts w:cs="Arial"/>
          <w:szCs w:val="24"/>
        </w:rPr>
        <w:t>25.73(b)?</w:t>
      </w:r>
    </w:p>
    <w:p w:rsidR="00ED6748" w:rsidP="00ED6748" w14:paraId="512E710B" w14:textId="7205B75E">
      <w:pPr>
        <w:tabs>
          <w:tab w:val="left" w:pos="1440"/>
          <w:tab w:val="right" w:leader="dot" w:pos="8640"/>
        </w:tabs>
        <w:spacing w:line="360" w:lineRule="auto"/>
        <w:ind w:left="720" w:hanging="720"/>
        <w:jc w:val="both"/>
        <w:rPr>
          <w:rFonts w:cs="Arial"/>
          <w:color w:val="auto"/>
          <w:szCs w:val="24"/>
          <w:shd w:val="clear" w:color="auto" w:fill="auto"/>
        </w:rPr>
      </w:pPr>
      <w:r w:rsidRPr="00054BFF">
        <w:rPr>
          <w:rFonts w:cs="Arial"/>
          <w:szCs w:val="24"/>
        </w:rPr>
        <w:t>A.</w:t>
      </w:r>
      <w:r w:rsidRPr="00054BFF">
        <w:rPr>
          <w:rFonts w:cs="Arial"/>
          <w:szCs w:val="24"/>
        </w:rPr>
        <w:tab/>
        <w:t xml:space="preserve">Yes.  As directed in DCRF-RFP General Instruction 5 (see “Note 4”), the Company has included a copy of </w:t>
      </w:r>
      <w:r w:rsidR="00035EF2">
        <w:rPr>
          <w:rFonts w:cs="Arial"/>
          <w:szCs w:val="24"/>
        </w:rPr>
        <w:t>its</w:t>
      </w:r>
      <w:r w:rsidRPr="00054BFF">
        <w:rPr>
          <w:rFonts w:cs="Arial"/>
          <w:szCs w:val="24"/>
        </w:rPr>
        <w:t xml:space="preserve"> 202</w:t>
      </w:r>
      <w:r w:rsidR="00054BFF">
        <w:rPr>
          <w:rFonts w:cs="Arial"/>
          <w:szCs w:val="24"/>
        </w:rPr>
        <w:t>2</w:t>
      </w:r>
      <w:r w:rsidRPr="00054BFF">
        <w:rPr>
          <w:rFonts w:cs="Arial"/>
          <w:szCs w:val="24"/>
        </w:rPr>
        <w:t xml:space="preserve"> EMR</w:t>
      </w:r>
      <w:r w:rsidR="00035EF2">
        <w:rPr>
          <w:rFonts w:cs="Arial"/>
          <w:szCs w:val="24"/>
        </w:rPr>
        <w:t xml:space="preserve"> </w:t>
      </w:r>
      <w:r w:rsidRPr="00054BFF">
        <w:rPr>
          <w:rFonts w:cs="Arial"/>
          <w:szCs w:val="24"/>
        </w:rPr>
        <w:t xml:space="preserve">as Schedule K of this </w:t>
      </w:r>
      <w:r w:rsidR="00054BFF">
        <w:rPr>
          <w:rFonts w:cs="Arial"/>
          <w:szCs w:val="24"/>
        </w:rPr>
        <w:t>A</w:t>
      </w:r>
      <w:r w:rsidRPr="00054BFF">
        <w:rPr>
          <w:rFonts w:cs="Arial"/>
          <w:szCs w:val="24"/>
        </w:rPr>
        <w:t xml:space="preserve">pplication.  Similar to the other schedules filed in this current </w:t>
      </w:r>
      <w:r w:rsidR="00054BFF">
        <w:rPr>
          <w:rFonts w:cs="Arial"/>
          <w:szCs w:val="24"/>
        </w:rPr>
        <w:t>A</w:t>
      </w:r>
      <w:r w:rsidRPr="00054BFF">
        <w:rPr>
          <w:rFonts w:cs="Arial"/>
          <w:szCs w:val="24"/>
        </w:rPr>
        <w:t>pplication,</w:t>
      </w:r>
      <w:r w:rsidR="00B253A8">
        <w:rPr>
          <w:rFonts w:cs="Arial"/>
          <w:szCs w:val="24"/>
        </w:rPr>
        <w:t xml:space="preserve"> Oncor has provided</w:t>
      </w:r>
      <w:r w:rsidRPr="00054BFF">
        <w:rPr>
          <w:rFonts w:cs="Arial"/>
          <w:szCs w:val="24"/>
        </w:rPr>
        <w:t xml:space="preserve"> Schedule K in Microsoft Excel format with all workbooks and all linked workbooks having all formulas, cell references, links, etc., intact, functioning, and complete.</w:t>
      </w:r>
    </w:p>
    <w:p w:rsidR="00B24987" w:rsidP="00B24987" w14:paraId="78369E17" w14:textId="7BA7B4CF">
      <w:pPr>
        <w:tabs>
          <w:tab w:val="left" w:pos="1440"/>
          <w:tab w:val="right" w:leader="dot" w:pos="8640"/>
        </w:tabs>
        <w:spacing w:line="360" w:lineRule="auto"/>
        <w:ind w:left="720" w:hanging="720"/>
        <w:jc w:val="center"/>
        <w:rPr>
          <w:rFonts w:cs="Arial"/>
          <w:color w:val="auto"/>
          <w:szCs w:val="24"/>
          <w:shd w:val="clear" w:color="auto" w:fill="auto"/>
        </w:rPr>
      </w:pPr>
      <w:r>
        <w:rPr>
          <w:rFonts w:cs="Arial"/>
          <w:szCs w:val="24"/>
        </w:rPr>
        <w:tab/>
        <w:t xml:space="preserve">B.  </w:t>
      </w:r>
      <w:r w:rsidRPr="00B24987">
        <w:rPr>
          <w:rFonts w:cs="Arial"/>
          <w:szCs w:val="24"/>
          <w:u w:val="single"/>
        </w:rPr>
        <w:t>Rate of Return</w:t>
      </w:r>
    </w:p>
    <w:p w:rsidR="00CE5FBB" w14:paraId="0CC08C70" w14:textId="43A25E20">
      <w:pPr>
        <w:pStyle w:val="BodyTextIndent"/>
        <w:rPr>
          <w:rFonts w:cs="Arial"/>
          <w:color w:val="auto"/>
          <w:szCs w:val="24"/>
          <w:shd w:val="clear" w:color="auto" w:fill="auto"/>
        </w:rPr>
      </w:pPr>
      <w:r>
        <w:rPr>
          <w:rFonts w:cs="Arial"/>
          <w:szCs w:val="24"/>
        </w:rPr>
        <w:t>Q.</w:t>
      </w:r>
      <w:r>
        <w:rPr>
          <w:rFonts w:cs="Arial"/>
          <w:szCs w:val="24"/>
        </w:rPr>
        <w:tab/>
      </w:r>
      <w:r w:rsidR="00A10AFE">
        <w:rPr>
          <w:rFonts w:cs="Arial"/>
          <w:szCs w:val="24"/>
        </w:rPr>
        <w:t xml:space="preserve">DOES THE </w:t>
      </w:r>
      <w:r w:rsidR="00B72629">
        <w:rPr>
          <w:rFonts w:cs="Arial"/>
          <w:szCs w:val="24"/>
        </w:rPr>
        <w:t>ONCOR</w:t>
      </w:r>
      <w:r w:rsidR="00A10AFE">
        <w:rPr>
          <w:rFonts w:cs="Arial"/>
          <w:szCs w:val="24"/>
        </w:rPr>
        <w:t xml:space="preserve"> 2022 EMR INDICATE THAT </w:t>
      </w:r>
      <w:r w:rsidR="00B72629">
        <w:rPr>
          <w:rFonts w:cs="Arial"/>
          <w:szCs w:val="24"/>
        </w:rPr>
        <w:t xml:space="preserve">THE COMPANY </w:t>
      </w:r>
      <w:r w:rsidR="00A10AFE">
        <w:rPr>
          <w:rFonts w:cs="Arial"/>
          <w:szCs w:val="24"/>
        </w:rPr>
        <w:t>IS EARNING MORE THAN ITS AUTHORIZED RATE OF RETURN USING WEATHER-NORMALIZED DATA?</w:t>
      </w:r>
    </w:p>
    <w:p w:rsidR="00CE5FBB" w:rsidP="00D26E61" w14:paraId="51D85F35" w14:textId="755E5088">
      <w:pPr>
        <w:pStyle w:val="BodyTextIndent"/>
        <w:rPr>
          <w:rFonts w:cs="Arial"/>
          <w:color w:val="auto"/>
          <w:szCs w:val="24"/>
          <w:shd w:val="clear" w:color="auto" w:fill="auto"/>
        </w:rPr>
      </w:pPr>
      <w:r>
        <w:rPr>
          <w:rFonts w:cs="Arial"/>
          <w:szCs w:val="24"/>
        </w:rPr>
        <w:t>A.</w:t>
      </w:r>
      <w:r>
        <w:rPr>
          <w:rFonts w:cs="Arial"/>
          <w:szCs w:val="24"/>
        </w:rPr>
        <w:tab/>
      </w:r>
      <w:r w:rsidR="00A10AFE">
        <w:rPr>
          <w:rFonts w:cs="Arial"/>
          <w:szCs w:val="24"/>
        </w:rPr>
        <w:t xml:space="preserve">No.  As reflected </w:t>
      </w:r>
      <w:r w:rsidRPr="00092B4B" w:rsidR="00A10AFE">
        <w:rPr>
          <w:rFonts w:cs="Arial"/>
          <w:szCs w:val="24"/>
        </w:rPr>
        <w:t>on Schedule III of the 2022 EMR (</w:t>
      </w:r>
      <w:r w:rsidRPr="00092B4B" w:rsidR="00553F8C">
        <w:rPr>
          <w:rFonts w:cs="Arial"/>
          <w:szCs w:val="24"/>
        </w:rPr>
        <w:t xml:space="preserve">see </w:t>
      </w:r>
      <w:r w:rsidRPr="00092B4B" w:rsidR="00A10AFE">
        <w:rPr>
          <w:rFonts w:cs="Arial"/>
          <w:szCs w:val="24"/>
        </w:rPr>
        <w:t xml:space="preserve">page </w:t>
      </w:r>
      <w:r w:rsidRPr="00092B4B" w:rsidR="001D1490">
        <w:rPr>
          <w:rFonts w:cs="Arial"/>
          <w:szCs w:val="24"/>
        </w:rPr>
        <w:t>7</w:t>
      </w:r>
      <w:r w:rsidRPr="00092B4B" w:rsidR="00A10AFE">
        <w:rPr>
          <w:rFonts w:cs="Arial"/>
          <w:szCs w:val="24"/>
        </w:rPr>
        <w:t xml:space="preserve"> of DCRF-RFP Schedule K in this </w:t>
      </w:r>
      <w:r w:rsidRPr="00092B4B" w:rsidR="00B253A8">
        <w:rPr>
          <w:rFonts w:cs="Arial"/>
          <w:szCs w:val="24"/>
        </w:rPr>
        <w:t>A</w:t>
      </w:r>
      <w:r w:rsidRPr="00092B4B" w:rsidR="00A10AFE">
        <w:rPr>
          <w:rFonts w:cs="Arial"/>
          <w:szCs w:val="24"/>
        </w:rPr>
        <w:t>pplication),</w:t>
      </w:r>
      <w:r w:rsidRPr="001A28D9" w:rsidR="00A10AFE">
        <w:rPr>
          <w:rFonts w:cs="Arial"/>
          <w:szCs w:val="24"/>
        </w:rPr>
        <w:t xml:space="preserve"> Oncor’s weather-adjusted rate of return </w:t>
      </w:r>
      <w:r w:rsidRPr="001A28D9" w:rsidR="008F34B8">
        <w:rPr>
          <w:rFonts w:cs="Arial"/>
          <w:szCs w:val="24"/>
        </w:rPr>
        <w:t xml:space="preserve">on its 2022 year-end total of invested capital </w:t>
      </w:r>
      <w:r w:rsidRPr="001A28D9" w:rsidR="00A10AFE">
        <w:rPr>
          <w:rFonts w:cs="Arial"/>
          <w:szCs w:val="24"/>
        </w:rPr>
        <w:t>was 6.03%,</w:t>
      </w:r>
      <w:r w:rsidRPr="001A28D9" w:rsidR="008F34B8">
        <w:rPr>
          <w:rFonts w:cs="Arial"/>
          <w:szCs w:val="24"/>
        </w:rPr>
        <w:t xml:space="preserve"> with an earned return on ending equity </w:t>
      </w:r>
      <w:r w:rsidRPr="001A28D9" w:rsidR="00ED765A">
        <w:rPr>
          <w:rFonts w:cs="Arial"/>
          <w:szCs w:val="24"/>
        </w:rPr>
        <w:t xml:space="preserve">(“ROE”) </w:t>
      </w:r>
      <w:r w:rsidRPr="001A28D9" w:rsidR="008F34B8">
        <w:rPr>
          <w:rFonts w:cs="Arial"/>
          <w:szCs w:val="24"/>
        </w:rPr>
        <w:t>of 8.12%.  The rate of return</w:t>
      </w:r>
      <w:r w:rsidRPr="001A28D9" w:rsidR="00A10AFE">
        <w:rPr>
          <w:rFonts w:cs="Arial"/>
          <w:szCs w:val="24"/>
        </w:rPr>
        <w:t xml:space="preserve"> is </w:t>
      </w:r>
      <w:r w:rsidRPr="001A28D9" w:rsidR="00ED765A">
        <w:rPr>
          <w:rFonts w:cs="Arial"/>
          <w:szCs w:val="24"/>
        </w:rPr>
        <w:t>signifi</w:t>
      </w:r>
      <w:r w:rsidRPr="001A28D9" w:rsidR="00A10AFE">
        <w:rPr>
          <w:rFonts w:cs="Arial"/>
          <w:szCs w:val="24"/>
        </w:rPr>
        <w:t xml:space="preserve">cantly below </w:t>
      </w:r>
      <w:r w:rsidRPr="001A28D9" w:rsidR="00ED765A">
        <w:rPr>
          <w:rFonts w:cs="Arial"/>
          <w:szCs w:val="24"/>
        </w:rPr>
        <w:t>(</w:t>
      </w:r>
      <w:r w:rsidRPr="001A28D9" w:rsidR="00ED765A">
        <w:rPr>
          <w:rFonts w:cs="Arial"/>
          <w:i/>
          <w:iCs/>
          <w:szCs w:val="24"/>
        </w:rPr>
        <w:t>i.e.</w:t>
      </w:r>
      <w:r w:rsidRPr="001A28D9" w:rsidR="00ED765A">
        <w:rPr>
          <w:rFonts w:cs="Arial"/>
          <w:szCs w:val="24"/>
        </w:rPr>
        <w:t xml:space="preserve">, </w:t>
      </w:r>
      <w:r w:rsidRPr="001A28D9" w:rsidR="00203304">
        <w:rPr>
          <w:rFonts w:cs="Arial"/>
          <w:szCs w:val="24"/>
        </w:rPr>
        <w:t>-</w:t>
      </w:r>
      <w:r w:rsidRPr="001A28D9" w:rsidR="00ED765A">
        <w:rPr>
          <w:rFonts w:cs="Arial"/>
          <w:szCs w:val="24"/>
        </w:rPr>
        <w:t xml:space="preserve">62 basis points or </w:t>
      </w:r>
      <w:r w:rsidRPr="001A28D9" w:rsidR="00203304">
        <w:rPr>
          <w:rFonts w:cs="Arial"/>
          <w:szCs w:val="24"/>
        </w:rPr>
        <w:t>-</w:t>
      </w:r>
      <w:r w:rsidRPr="001A28D9" w:rsidR="00ED765A">
        <w:rPr>
          <w:rFonts w:cs="Arial"/>
          <w:szCs w:val="24"/>
        </w:rPr>
        <w:t>$128.6 million)</w:t>
      </w:r>
      <w:r w:rsidRPr="001A28D9" w:rsidR="00553F8C">
        <w:rPr>
          <w:rFonts w:cs="Arial"/>
          <w:szCs w:val="24"/>
        </w:rPr>
        <w:t xml:space="preserve"> </w:t>
      </w:r>
      <w:r w:rsidRPr="001A28D9" w:rsidR="00A10AFE">
        <w:rPr>
          <w:rFonts w:cs="Arial"/>
          <w:szCs w:val="24"/>
        </w:rPr>
        <w:t xml:space="preserve">the 6.65% weighted average cost of capital authorized in the </w:t>
      </w:r>
      <w:r w:rsidR="00CE5318">
        <w:rPr>
          <w:rFonts w:cs="Arial"/>
          <w:szCs w:val="24"/>
        </w:rPr>
        <w:t>O</w:t>
      </w:r>
      <w:r w:rsidRPr="001A28D9" w:rsidR="00A10AFE">
        <w:rPr>
          <w:rFonts w:cs="Arial"/>
          <w:szCs w:val="24"/>
        </w:rPr>
        <w:t>rder</w:t>
      </w:r>
      <w:r w:rsidR="00CE5318">
        <w:rPr>
          <w:rFonts w:cs="Arial"/>
          <w:szCs w:val="24"/>
        </w:rPr>
        <w:t xml:space="preserve"> on Rehearing</w:t>
      </w:r>
      <w:r w:rsidRPr="001A28D9" w:rsidR="00A10AFE">
        <w:rPr>
          <w:rFonts w:cs="Arial"/>
          <w:szCs w:val="24"/>
        </w:rPr>
        <w:t xml:space="preserve"> in Docket No. 53601</w:t>
      </w:r>
      <w:r w:rsidRPr="001A28D9" w:rsidR="00ED765A">
        <w:rPr>
          <w:rFonts w:cs="Arial"/>
          <w:szCs w:val="24"/>
        </w:rPr>
        <w:t>,</w:t>
      </w:r>
      <w:r>
        <w:rPr>
          <w:rStyle w:val="FootnoteReference"/>
          <w:rFonts w:cs="Arial"/>
          <w:szCs w:val="24"/>
        </w:rPr>
        <w:footnoteReference w:id="8"/>
      </w:r>
      <w:r w:rsidRPr="001A28D9" w:rsidR="00553F8C">
        <w:rPr>
          <w:rFonts w:cs="Arial"/>
          <w:szCs w:val="24"/>
        </w:rPr>
        <w:t xml:space="preserve"> a</w:t>
      </w:r>
      <w:r w:rsidRPr="001A28D9" w:rsidR="00ED765A">
        <w:rPr>
          <w:rFonts w:cs="Arial"/>
          <w:szCs w:val="24"/>
        </w:rPr>
        <w:t>s well as</w:t>
      </w:r>
      <w:r w:rsidRPr="001A28D9" w:rsidR="00553F8C">
        <w:rPr>
          <w:rFonts w:cs="Arial"/>
          <w:szCs w:val="24"/>
        </w:rPr>
        <w:t xml:space="preserve"> Oncor’s actual 6.78% weighted average cost of capital at December 31, 2022, as reflected in </w:t>
      </w:r>
      <w:r w:rsidRPr="00092B4B" w:rsidR="00553F8C">
        <w:rPr>
          <w:rFonts w:cs="Arial"/>
          <w:szCs w:val="24"/>
        </w:rPr>
        <w:t xml:space="preserve">Schedule V of Oncor’s 2022 EMR (see page </w:t>
      </w:r>
      <w:r w:rsidRPr="00092B4B" w:rsidR="001C3757">
        <w:rPr>
          <w:rFonts w:cs="Arial"/>
          <w:szCs w:val="24"/>
        </w:rPr>
        <w:t>9</w:t>
      </w:r>
      <w:r w:rsidRPr="00092B4B" w:rsidR="00553F8C">
        <w:rPr>
          <w:rFonts w:cs="Arial"/>
          <w:szCs w:val="24"/>
        </w:rPr>
        <w:t xml:space="preserve"> of DCRF-RFP Schedule K in this </w:t>
      </w:r>
      <w:r w:rsidRPr="00092B4B" w:rsidR="00B253A8">
        <w:rPr>
          <w:rFonts w:cs="Arial"/>
          <w:szCs w:val="24"/>
        </w:rPr>
        <w:t>A</w:t>
      </w:r>
      <w:r w:rsidRPr="00092B4B" w:rsidR="00553F8C">
        <w:rPr>
          <w:rFonts w:cs="Arial"/>
          <w:szCs w:val="24"/>
        </w:rPr>
        <w:t>pplication</w:t>
      </w:r>
      <w:r w:rsidRPr="00092B4B" w:rsidR="00053E25">
        <w:rPr>
          <w:rFonts w:cs="Arial"/>
          <w:szCs w:val="24"/>
        </w:rPr>
        <w:t>, which</w:t>
      </w:r>
      <w:r w:rsidR="00053E25">
        <w:rPr>
          <w:rFonts w:cs="Arial"/>
          <w:szCs w:val="24"/>
        </w:rPr>
        <w:t xml:space="preserve"> reflects the 9.8% return on equity in effect during 2022, as authorized in Commission Docket No. 46957</w:t>
      </w:r>
      <w:r w:rsidR="00553F8C">
        <w:rPr>
          <w:rFonts w:cs="Arial"/>
          <w:szCs w:val="24"/>
        </w:rPr>
        <w:t>).</w:t>
      </w:r>
      <w:r w:rsidR="00085C3A">
        <w:rPr>
          <w:rFonts w:cs="Arial"/>
          <w:szCs w:val="24"/>
        </w:rPr>
        <w:t xml:space="preserve">  Similarly, Oncor’s weather-adjusted rate of return during 2022 </w:t>
      </w:r>
      <w:r w:rsidR="00EF195B">
        <w:rPr>
          <w:rFonts w:cs="Arial"/>
          <w:szCs w:val="24"/>
        </w:rPr>
        <w:t>wa</w:t>
      </w:r>
      <w:r w:rsidR="00085C3A">
        <w:rPr>
          <w:rFonts w:cs="Arial"/>
          <w:szCs w:val="24"/>
        </w:rPr>
        <w:t xml:space="preserve">s also below the </w:t>
      </w:r>
      <w:r w:rsidR="00EF195B">
        <w:rPr>
          <w:rFonts w:cs="Arial"/>
          <w:szCs w:val="24"/>
        </w:rPr>
        <w:t>alternatively calculated rate of return of 6.86% reflected in the Company’s 2021 DCRF application.</w:t>
      </w:r>
      <w:r>
        <w:rPr>
          <w:rStyle w:val="FootnoteReference"/>
          <w:rFonts w:cs="Arial"/>
          <w:szCs w:val="24"/>
        </w:rPr>
        <w:footnoteReference w:id="9"/>
      </w:r>
    </w:p>
    <w:p w:rsidR="00250450" w:rsidP="00D26E61" w14:paraId="21FD42BB" w14:textId="277D21DC">
      <w:pPr>
        <w:pStyle w:val="BodyTextIndent"/>
        <w:rPr>
          <w:rFonts w:cs="Arial"/>
          <w:color w:val="auto"/>
          <w:szCs w:val="24"/>
          <w:shd w:val="clear" w:color="auto" w:fill="auto"/>
        </w:rPr>
      </w:pPr>
      <w:r>
        <w:rPr>
          <w:rFonts w:cs="Arial"/>
          <w:szCs w:val="24"/>
        </w:rPr>
        <w:t>Q.</w:t>
      </w:r>
      <w:r>
        <w:rPr>
          <w:rFonts w:cs="Arial"/>
          <w:szCs w:val="24"/>
        </w:rPr>
        <w:tab/>
        <w:t>D</w:t>
      </w:r>
      <w:r w:rsidR="00B24987">
        <w:rPr>
          <w:rFonts w:cs="Arial"/>
          <w:szCs w:val="24"/>
        </w:rPr>
        <w:t xml:space="preserve">OES THE COMPANY’S 2022 EMR REFLECT THE </w:t>
      </w:r>
      <w:r w:rsidR="00A66EA8">
        <w:rPr>
          <w:rFonts w:cs="Arial"/>
          <w:szCs w:val="24"/>
        </w:rPr>
        <w:t xml:space="preserve">CAPITALIZED PLANT </w:t>
      </w:r>
      <w:r w:rsidR="00B24987">
        <w:rPr>
          <w:rFonts w:cs="Arial"/>
          <w:szCs w:val="24"/>
        </w:rPr>
        <w:t>D</w:t>
      </w:r>
      <w:r>
        <w:rPr>
          <w:rFonts w:cs="Arial"/>
          <w:szCs w:val="24"/>
        </w:rPr>
        <w:t>ISALLOWANCES</w:t>
      </w:r>
      <w:r w:rsidR="00B24987">
        <w:rPr>
          <w:rFonts w:cs="Arial"/>
          <w:szCs w:val="24"/>
        </w:rPr>
        <w:t xml:space="preserve"> ORDERED BY THE COMMISSION</w:t>
      </w:r>
      <w:r w:rsidR="00A66EA8">
        <w:rPr>
          <w:rFonts w:cs="Arial"/>
          <w:szCs w:val="24"/>
        </w:rPr>
        <w:t xml:space="preserve"> IN DOCKET NO. 53601</w:t>
      </w:r>
      <w:r>
        <w:rPr>
          <w:rFonts w:cs="Arial"/>
          <w:szCs w:val="24"/>
        </w:rPr>
        <w:t>?</w:t>
      </w:r>
    </w:p>
    <w:p w:rsidR="00250450" w:rsidP="00D26E61" w14:paraId="79366A92" w14:textId="1B089FAB">
      <w:pPr>
        <w:pStyle w:val="BodyTextIndent"/>
        <w:rPr>
          <w:rFonts w:cs="Arial"/>
          <w:color w:val="auto"/>
          <w:szCs w:val="24"/>
          <w:shd w:val="clear" w:color="auto" w:fill="auto"/>
        </w:rPr>
      </w:pPr>
      <w:r>
        <w:rPr>
          <w:rFonts w:cs="Arial"/>
          <w:szCs w:val="24"/>
        </w:rPr>
        <w:t>A.</w:t>
      </w:r>
      <w:r>
        <w:rPr>
          <w:rFonts w:cs="Arial"/>
          <w:szCs w:val="24"/>
        </w:rPr>
        <w:tab/>
        <w:t xml:space="preserve">No.  </w:t>
      </w:r>
      <w:r w:rsidR="00A66EA8">
        <w:rPr>
          <w:rFonts w:cs="Arial"/>
          <w:szCs w:val="24"/>
        </w:rPr>
        <w:t>As I discuss later in my direct testimony</w:t>
      </w:r>
      <w:r w:rsidR="0024325D">
        <w:rPr>
          <w:rFonts w:cs="Arial"/>
          <w:szCs w:val="24"/>
        </w:rPr>
        <w:t xml:space="preserve"> (see Section IV.D.)</w:t>
      </w:r>
      <w:r w:rsidR="00A66EA8">
        <w:rPr>
          <w:rFonts w:cs="Arial"/>
          <w:szCs w:val="24"/>
        </w:rPr>
        <w:t xml:space="preserve">, Oncor’s financial records and statements for the year ended December 31, 2022 had already been closed and publicly reported prior to the Commission’s </w:t>
      </w:r>
      <w:r w:rsidR="00CE5318">
        <w:rPr>
          <w:rFonts w:cs="Arial"/>
          <w:szCs w:val="24"/>
        </w:rPr>
        <w:t xml:space="preserve">June 30, </w:t>
      </w:r>
      <w:r w:rsidR="00A66EA8">
        <w:rPr>
          <w:rFonts w:cs="Arial"/>
          <w:szCs w:val="24"/>
        </w:rPr>
        <w:t xml:space="preserve">2023 issuance of its </w:t>
      </w:r>
      <w:r w:rsidR="00CE5318">
        <w:rPr>
          <w:rFonts w:cs="Arial"/>
          <w:szCs w:val="24"/>
        </w:rPr>
        <w:t>O</w:t>
      </w:r>
      <w:r w:rsidR="00A66EA8">
        <w:rPr>
          <w:rFonts w:cs="Arial"/>
          <w:szCs w:val="24"/>
        </w:rPr>
        <w:t>rder</w:t>
      </w:r>
      <w:r w:rsidR="00CE5318">
        <w:rPr>
          <w:rFonts w:cs="Arial"/>
          <w:szCs w:val="24"/>
        </w:rPr>
        <w:t xml:space="preserve"> on Reh</w:t>
      </w:r>
      <w:r w:rsidR="00557965">
        <w:rPr>
          <w:rFonts w:cs="Arial"/>
          <w:szCs w:val="24"/>
        </w:rPr>
        <w:t>e</w:t>
      </w:r>
      <w:r w:rsidR="00CE5318">
        <w:rPr>
          <w:rFonts w:cs="Arial"/>
          <w:szCs w:val="24"/>
        </w:rPr>
        <w:t>aring</w:t>
      </w:r>
      <w:r w:rsidR="00A66EA8">
        <w:rPr>
          <w:rFonts w:cs="Arial"/>
          <w:szCs w:val="24"/>
        </w:rPr>
        <w:t xml:space="preserve"> in Docket No. 53601.</w:t>
      </w:r>
    </w:p>
    <w:p w:rsidR="00D71772" w:rsidP="00D26E61" w14:paraId="3C9765E4" w14:textId="5E950B57">
      <w:pPr>
        <w:pStyle w:val="BodyTextIndent"/>
        <w:rPr>
          <w:rFonts w:cs="Arial"/>
          <w:color w:val="auto"/>
          <w:szCs w:val="24"/>
          <w:shd w:val="clear" w:color="auto" w:fill="auto"/>
        </w:rPr>
      </w:pPr>
      <w:r>
        <w:rPr>
          <w:rFonts w:cs="Arial"/>
          <w:szCs w:val="24"/>
        </w:rPr>
        <w:t>Q.</w:t>
      </w:r>
      <w:r>
        <w:rPr>
          <w:rFonts w:cs="Arial"/>
          <w:szCs w:val="24"/>
        </w:rPr>
        <w:tab/>
      </w:r>
      <w:r w:rsidR="008558F6">
        <w:rPr>
          <w:rFonts w:cs="Arial"/>
          <w:szCs w:val="24"/>
        </w:rPr>
        <w:t>DOES</w:t>
      </w:r>
      <w:r w:rsidR="003E6449">
        <w:rPr>
          <w:rFonts w:cs="Arial"/>
          <w:szCs w:val="24"/>
        </w:rPr>
        <w:t xml:space="preserve"> A PROFORMA ADJUSTMENT FOR THE EFFECTS OF THE </w:t>
      </w:r>
      <w:r w:rsidR="008558F6">
        <w:rPr>
          <w:rFonts w:cs="Arial"/>
          <w:szCs w:val="24"/>
        </w:rPr>
        <w:t xml:space="preserve">DOCKET NO. 53601 </w:t>
      </w:r>
      <w:r w:rsidR="003E6449">
        <w:rPr>
          <w:rFonts w:cs="Arial"/>
          <w:szCs w:val="24"/>
        </w:rPr>
        <w:t>CAPITALIZED PLANT DISALLOWANCE TO THE YEAR-END 2022 RATE BASE REFLECTED IN ONCOR’S 2022 EMR INDICATE THAT THE COMPANY IS EARNING IN EXCESS OF ITS AUTHORIZED RETURN?</w:t>
      </w:r>
    </w:p>
    <w:p w:rsidR="003E6449" w:rsidP="00D26E61" w14:paraId="126D35DE" w14:textId="08478FCD">
      <w:pPr>
        <w:pStyle w:val="BodyTextIndent"/>
        <w:rPr>
          <w:rFonts w:cs="Arial"/>
          <w:color w:val="auto"/>
          <w:szCs w:val="24"/>
          <w:shd w:val="clear" w:color="auto" w:fill="auto"/>
        </w:rPr>
      </w:pPr>
      <w:r>
        <w:rPr>
          <w:rFonts w:cs="Arial"/>
          <w:szCs w:val="24"/>
        </w:rPr>
        <w:t>A.</w:t>
      </w:r>
      <w:r>
        <w:rPr>
          <w:rFonts w:cs="Arial"/>
          <w:szCs w:val="24"/>
        </w:rPr>
        <w:tab/>
        <w:t xml:space="preserve">No.  </w:t>
      </w:r>
      <w:r w:rsidR="008558F6">
        <w:rPr>
          <w:rFonts w:cs="Arial"/>
          <w:szCs w:val="24"/>
        </w:rPr>
        <w:t>As calculated on my testimony workpaper WP</w:t>
      </w:r>
      <w:r w:rsidR="003E6852">
        <w:rPr>
          <w:rFonts w:cs="Arial"/>
          <w:szCs w:val="24"/>
        </w:rPr>
        <w:t>/</w:t>
      </w:r>
      <w:r w:rsidR="008558F6">
        <w:rPr>
          <w:rFonts w:cs="Arial"/>
          <w:szCs w:val="24"/>
        </w:rPr>
        <w:t>2022_PF-R</w:t>
      </w:r>
      <w:r w:rsidR="006B3ABE">
        <w:rPr>
          <w:rFonts w:cs="Arial"/>
          <w:szCs w:val="24"/>
        </w:rPr>
        <w:t>oR</w:t>
      </w:r>
      <w:r w:rsidR="008558F6">
        <w:rPr>
          <w:rFonts w:cs="Arial"/>
          <w:szCs w:val="24"/>
        </w:rPr>
        <w:t xml:space="preserve">, </w:t>
      </w:r>
      <w:r w:rsidR="00823F7E">
        <w:rPr>
          <w:rFonts w:cs="Arial"/>
          <w:szCs w:val="24"/>
        </w:rPr>
        <w:t xml:space="preserve">adjusting for </w:t>
      </w:r>
      <w:r w:rsidR="008558F6">
        <w:rPr>
          <w:rFonts w:cs="Arial"/>
          <w:szCs w:val="24"/>
        </w:rPr>
        <w:t>the effects of the Docket No. 53601 capitalized compensation and benefit costs disallowed, Oncor’s weather-adjusted rate of return would increase by two basis points</w:t>
      </w:r>
      <w:r w:rsidR="00487530">
        <w:rPr>
          <w:rFonts w:cs="Arial"/>
          <w:szCs w:val="24"/>
        </w:rPr>
        <w:t xml:space="preserve"> (</w:t>
      </w:r>
      <w:r w:rsidRPr="00487530" w:rsidR="00487530">
        <w:rPr>
          <w:rFonts w:cs="Arial"/>
          <w:i/>
          <w:iCs/>
          <w:szCs w:val="24"/>
        </w:rPr>
        <w:t>i.e</w:t>
      </w:r>
      <w:r w:rsidR="00487530">
        <w:rPr>
          <w:rFonts w:cs="Arial"/>
          <w:szCs w:val="24"/>
        </w:rPr>
        <w:t>, from 6.03%</w:t>
      </w:r>
      <w:r w:rsidR="008558F6">
        <w:rPr>
          <w:rFonts w:cs="Arial"/>
          <w:szCs w:val="24"/>
        </w:rPr>
        <w:t xml:space="preserve"> to 6.05%</w:t>
      </w:r>
      <w:r w:rsidR="00487530">
        <w:rPr>
          <w:rFonts w:cs="Arial"/>
          <w:szCs w:val="24"/>
        </w:rPr>
        <w:t>)</w:t>
      </w:r>
      <w:r w:rsidR="00C12718">
        <w:rPr>
          <w:rFonts w:cs="Arial"/>
          <w:szCs w:val="24"/>
        </w:rPr>
        <w:t>, but still significantly below Oncor’s authorized rate of return of 6.65%.</w:t>
      </w:r>
    </w:p>
    <w:p w:rsidR="00CE5FBB" w:rsidRPr="00D80C86" w:rsidP="0013276B" w14:paraId="74C948C5" w14:textId="17D0FFAE">
      <w:pPr>
        <w:pStyle w:val="BodyTextIndent"/>
        <w:ind w:firstLine="0"/>
        <w:jc w:val="center"/>
        <w:rPr>
          <w:b/>
          <w:color w:val="auto"/>
          <w:szCs w:val="24"/>
          <w:shd w:val="clear" w:color="auto" w:fill="auto"/>
        </w:rPr>
      </w:pPr>
      <w:r>
        <w:rPr>
          <w:b/>
          <w:szCs w:val="24"/>
        </w:rPr>
        <w:t xml:space="preserve">IV.  </w:t>
      </w:r>
      <w:r w:rsidR="00BC0EB1">
        <w:rPr>
          <w:b/>
          <w:szCs w:val="24"/>
          <w:u w:val="single"/>
        </w:rPr>
        <w:t>DISTRIBUTION INVESTED CAPITAL SUMMARY</w:t>
      </w:r>
    </w:p>
    <w:p w:rsidR="004305D5" w:rsidP="004305D5" w14:paraId="7DC247CA" w14:textId="0D0A7917">
      <w:pPr>
        <w:pStyle w:val="BodyTextIndent2"/>
        <w:ind w:hanging="720"/>
        <w:jc w:val="both"/>
        <w:rPr>
          <w:rFonts w:cs="Arial"/>
          <w:bCs/>
          <w:color w:val="auto"/>
          <w:szCs w:val="24"/>
          <w:shd w:val="clear" w:color="auto" w:fill="auto"/>
        </w:rPr>
      </w:pPr>
      <w:bookmarkStart w:id="4" w:name="_Toc429577235"/>
      <w:r>
        <w:rPr>
          <w:rFonts w:cs="Arial"/>
          <w:bCs/>
          <w:szCs w:val="24"/>
        </w:rPr>
        <w:t>Q.</w:t>
      </w:r>
      <w:r>
        <w:rPr>
          <w:rFonts w:cs="Arial"/>
          <w:bCs/>
          <w:szCs w:val="24"/>
        </w:rPr>
        <w:tab/>
        <w:t xml:space="preserve">PLEASE PROVIDE A SUMMARY OF ONCOR’S NET DISTRIBUTION INVESTED CAPITAL AS OF </w:t>
      </w:r>
      <w:r w:rsidR="00487530">
        <w:rPr>
          <w:rFonts w:cs="Arial"/>
          <w:bCs/>
          <w:szCs w:val="24"/>
        </w:rPr>
        <w:t xml:space="preserve">JUNE 30, </w:t>
      </w:r>
      <w:r>
        <w:rPr>
          <w:rFonts w:cs="Arial"/>
          <w:bCs/>
          <w:szCs w:val="24"/>
        </w:rPr>
        <w:t>202</w:t>
      </w:r>
      <w:r w:rsidR="00487530">
        <w:rPr>
          <w:rFonts w:cs="Arial"/>
          <w:bCs/>
          <w:szCs w:val="24"/>
        </w:rPr>
        <w:t>3</w:t>
      </w:r>
      <w:r>
        <w:rPr>
          <w:rFonts w:cs="Arial"/>
          <w:bCs/>
          <w:szCs w:val="24"/>
        </w:rPr>
        <w:t>.</w:t>
      </w:r>
    </w:p>
    <w:p w:rsidR="004305D5" w:rsidP="004305D5" w14:paraId="2365C6D3" w14:textId="3420A583">
      <w:pPr>
        <w:pStyle w:val="BodyTextIndent2"/>
        <w:ind w:hanging="720"/>
        <w:jc w:val="both"/>
        <w:rPr>
          <w:rFonts w:cs="Arial"/>
          <w:bCs/>
          <w:color w:val="auto"/>
          <w:szCs w:val="24"/>
          <w:shd w:val="clear" w:color="auto" w:fill="auto"/>
        </w:rPr>
      </w:pPr>
      <w:r>
        <w:rPr>
          <w:rFonts w:cs="Arial"/>
          <w:bCs/>
          <w:szCs w:val="24"/>
        </w:rPr>
        <w:t>A.</w:t>
      </w:r>
      <w:r>
        <w:rPr>
          <w:rFonts w:cs="Arial"/>
          <w:bCs/>
          <w:szCs w:val="24"/>
        </w:rPr>
        <w:tab/>
        <w:t xml:space="preserve">As shown on Schedule B of the DCRF-RFP in this </w:t>
      </w:r>
      <w:r w:rsidR="00B253A8">
        <w:rPr>
          <w:rFonts w:cs="Arial"/>
          <w:bCs/>
          <w:szCs w:val="24"/>
        </w:rPr>
        <w:t>A</w:t>
      </w:r>
      <w:r>
        <w:rPr>
          <w:rFonts w:cs="Arial"/>
          <w:bCs/>
          <w:szCs w:val="24"/>
        </w:rPr>
        <w:t>pplication, Oncor’s Net Distribution Invested Capital (</w:t>
      </w:r>
      <w:r w:rsidRPr="001C3757">
        <w:rPr>
          <w:rFonts w:cs="Arial"/>
          <w:bCs/>
          <w:i/>
          <w:iCs/>
          <w:szCs w:val="24"/>
        </w:rPr>
        <w:t>i.e.</w:t>
      </w:r>
      <w:r>
        <w:rPr>
          <w:rFonts w:cs="Arial"/>
          <w:bCs/>
          <w:szCs w:val="24"/>
        </w:rPr>
        <w:t>, Distribution rate base) at the end of the</w:t>
      </w:r>
      <w:r w:rsidR="00487530">
        <w:rPr>
          <w:rFonts w:cs="Arial"/>
          <w:bCs/>
          <w:szCs w:val="24"/>
        </w:rPr>
        <w:t xml:space="preserve"> June 30, </w:t>
      </w:r>
      <w:r w:rsidRPr="001A28D9">
        <w:rPr>
          <w:rFonts w:cs="Arial"/>
          <w:bCs/>
          <w:szCs w:val="24"/>
        </w:rPr>
        <w:t>202</w:t>
      </w:r>
      <w:r w:rsidR="00487530">
        <w:rPr>
          <w:rFonts w:cs="Arial"/>
          <w:bCs/>
          <w:szCs w:val="24"/>
        </w:rPr>
        <w:t>3</w:t>
      </w:r>
      <w:r w:rsidRPr="001A28D9">
        <w:rPr>
          <w:rFonts w:cs="Arial"/>
          <w:bCs/>
          <w:szCs w:val="24"/>
        </w:rPr>
        <w:t xml:space="preserve"> DCRF update period reflected in this </w:t>
      </w:r>
      <w:r w:rsidR="00487530">
        <w:rPr>
          <w:rFonts w:cs="Arial"/>
          <w:bCs/>
          <w:szCs w:val="24"/>
        </w:rPr>
        <w:t>A</w:t>
      </w:r>
      <w:r w:rsidRPr="001A28D9">
        <w:rPr>
          <w:rFonts w:cs="Arial"/>
          <w:bCs/>
          <w:szCs w:val="24"/>
        </w:rPr>
        <w:t>pplication is approximately $1</w:t>
      </w:r>
      <w:r w:rsidR="00487530">
        <w:rPr>
          <w:rFonts w:cs="Arial"/>
          <w:bCs/>
          <w:szCs w:val="24"/>
        </w:rPr>
        <w:t>1</w:t>
      </w:r>
      <w:r w:rsidRPr="001A28D9" w:rsidR="001A0F3C">
        <w:rPr>
          <w:rFonts w:cs="Arial"/>
          <w:bCs/>
          <w:szCs w:val="24"/>
        </w:rPr>
        <w:t>.</w:t>
      </w:r>
      <w:r w:rsidR="00CE5318">
        <w:rPr>
          <w:rFonts w:cs="Arial"/>
          <w:bCs/>
          <w:szCs w:val="24"/>
        </w:rPr>
        <w:t>41</w:t>
      </w:r>
      <w:r w:rsidRPr="001A28D9">
        <w:rPr>
          <w:rFonts w:cs="Arial"/>
          <w:bCs/>
          <w:szCs w:val="24"/>
        </w:rPr>
        <w:t xml:space="preserve"> billion.  This represents net growth during the </w:t>
      </w:r>
      <w:r w:rsidR="00487530">
        <w:rPr>
          <w:rFonts w:cs="Arial"/>
          <w:bCs/>
          <w:szCs w:val="24"/>
        </w:rPr>
        <w:t xml:space="preserve">18 months </w:t>
      </w:r>
      <w:r w:rsidRPr="001A28D9">
        <w:rPr>
          <w:rFonts w:cs="Arial"/>
          <w:bCs/>
          <w:szCs w:val="24"/>
        </w:rPr>
        <w:t xml:space="preserve">ending </w:t>
      </w:r>
      <w:r w:rsidR="00487530">
        <w:rPr>
          <w:rFonts w:cs="Arial"/>
          <w:bCs/>
          <w:szCs w:val="24"/>
        </w:rPr>
        <w:t>June 30</w:t>
      </w:r>
      <w:r w:rsidRPr="001A28D9">
        <w:rPr>
          <w:rFonts w:cs="Arial"/>
          <w:bCs/>
          <w:szCs w:val="24"/>
        </w:rPr>
        <w:t>, 202</w:t>
      </w:r>
      <w:r w:rsidR="00487530">
        <w:rPr>
          <w:rFonts w:cs="Arial"/>
          <w:bCs/>
          <w:szCs w:val="24"/>
        </w:rPr>
        <w:t>3</w:t>
      </w:r>
      <w:r w:rsidRPr="001A28D9">
        <w:rPr>
          <w:rFonts w:cs="Arial"/>
          <w:bCs/>
          <w:szCs w:val="24"/>
        </w:rPr>
        <w:t xml:space="preserve"> of approximately $</w:t>
      </w:r>
      <w:r w:rsidRPr="001A28D9" w:rsidR="001A0F3C">
        <w:rPr>
          <w:rFonts w:cs="Arial"/>
          <w:bCs/>
          <w:szCs w:val="24"/>
        </w:rPr>
        <w:t>1.</w:t>
      </w:r>
      <w:r w:rsidR="00CE5318">
        <w:rPr>
          <w:rFonts w:cs="Arial"/>
          <w:bCs/>
          <w:szCs w:val="24"/>
        </w:rPr>
        <w:t>77</w:t>
      </w:r>
      <w:r w:rsidRPr="001A28D9">
        <w:rPr>
          <w:rFonts w:cs="Arial"/>
          <w:bCs/>
          <w:szCs w:val="24"/>
        </w:rPr>
        <w:t xml:space="preserve"> billion over the DCRF baseline of $</w:t>
      </w:r>
      <w:r w:rsidRPr="001A28D9" w:rsidR="001A0F3C">
        <w:rPr>
          <w:rFonts w:cs="Arial"/>
          <w:bCs/>
          <w:szCs w:val="24"/>
        </w:rPr>
        <w:t>9.6</w:t>
      </w:r>
      <w:r w:rsidRPr="001A28D9" w:rsidR="001D1490">
        <w:rPr>
          <w:rFonts w:cs="Arial"/>
          <w:bCs/>
          <w:szCs w:val="24"/>
        </w:rPr>
        <w:t>4</w:t>
      </w:r>
      <w:r>
        <w:rPr>
          <w:rFonts w:cs="Arial"/>
          <w:bCs/>
          <w:szCs w:val="24"/>
        </w:rPr>
        <w:t xml:space="preserve"> billion </w:t>
      </w:r>
      <w:r w:rsidR="00490124">
        <w:rPr>
          <w:rFonts w:cs="Arial"/>
          <w:bCs/>
          <w:szCs w:val="24"/>
        </w:rPr>
        <w:t xml:space="preserve">at year-end </w:t>
      </w:r>
      <w:r w:rsidRPr="00823F7E" w:rsidR="00490124">
        <w:rPr>
          <w:rFonts w:cs="Arial"/>
          <w:bCs/>
          <w:szCs w:val="24"/>
        </w:rPr>
        <w:t xml:space="preserve">2021 </w:t>
      </w:r>
      <w:r w:rsidR="00C12718">
        <w:rPr>
          <w:rFonts w:cs="Arial"/>
          <w:bCs/>
          <w:szCs w:val="24"/>
        </w:rPr>
        <w:t xml:space="preserve">as approved </w:t>
      </w:r>
      <w:r>
        <w:rPr>
          <w:rFonts w:cs="Arial"/>
          <w:bCs/>
          <w:szCs w:val="24"/>
        </w:rPr>
        <w:t xml:space="preserve">in </w:t>
      </w:r>
      <w:r w:rsidR="00B305AD">
        <w:rPr>
          <w:rFonts w:cs="Arial"/>
          <w:bCs/>
          <w:szCs w:val="24"/>
        </w:rPr>
        <w:t xml:space="preserve">the Compliance Filing for Final Order in </w:t>
      </w:r>
      <w:r w:rsidRPr="00837CFD" w:rsidR="00490124">
        <w:rPr>
          <w:rFonts w:cs="Arial"/>
          <w:bCs/>
          <w:szCs w:val="24"/>
        </w:rPr>
        <w:t>Docket No. 53601</w:t>
      </w:r>
      <w:r w:rsidR="00B305AD">
        <w:rPr>
          <w:rFonts w:cs="Arial"/>
          <w:bCs/>
          <w:szCs w:val="24"/>
        </w:rPr>
        <w:t xml:space="preserve"> (Docket No. 54817)</w:t>
      </w:r>
      <w:r>
        <w:rPr>
          <w:rFonts w:cs="Arial"/>
          <w:bCs/>
          <w:szCs w:val="24"/>
        </w:rPr>
        <w:t>.  As shown on DCRF-RFP Schedule B-1</w:t>
      </w:r>
      <w:r w:rsidR="00D23178">
        <w:rPr>
          <w:rFonts w:cs="Arial"/>
          <w:bCs/>
          <w:szCs w:val="24"/>
        </w:rPr>
        <w:t xml:space="preserve">, this growth in Distribution rate </w:t>
      </w:r>
      <w:r w:rsidRPr="001A28D9" w:rsidR="00D23178">
        <w:rPr>
          <w:rFonts w:cs="Arial"/>
          <w:bCs/>
          <w:szCs w:val="24"/>
        </w:rPr>
        <w:t>base includes $</w:t>
      </w:r>
      <w:r w:rsidR="00487530">
        <w:rPr>
          <w:rFonts w:cs="Arial"/>
          <w:bCs/>
          <w:szCs w:val="24"/>
        </w:rPr>
        <w:t>2</w:t>
      </w:r>
      <w:r w:rsidRPr="001A28D9" w:rsidR="00E85F26">
        <w:rPr>
          <w:rFonts w:cs="Arial"/>
          <w:bCs/>
          <w:szCs w:val="24"/>
        </w:rPr>
        <w:t>.</w:t>
      </w:r>
      <w:r w:rsidR="00CE5318">
        <w:rPr>
          <w:rFonts w:cs="Arial"/>
          <w:bCs/>
          <w:szCs w:val="24"/>
        </w:rPr>
        <w:t>37</w:t>
      </w:r>
      <w:r w:rsidRPr="001A28D9" w:rsidR="00D23178">
        <w:rPr>
          <w:rFonts w:cs="Arial"/>
          <w:bCs/>
          <w:szCs w:val="24"/>
        </w:rPr>
        <w:t xml:space="preserve"> billion of plant additions during</w:t>
      </w:r>
      <w:r w:rsidR="00487530">
        <w:rPr>
          <w:rFonts w:cs="Arial"/>
          <w:bCs/>
          <w:szCs w:val="24"/>
        </w:rPr>
        <w:t xml:space="preserve"> the 18-month update period </w:t>
      </w:r>
      <w:r w:rsidRPr="001A28D9" w:rsidR="00D23178">
        <w:rPr>
          <w:rFonts w:cs="Arial"/>
          <w:bCs/>
          <w:szCs w:val="24"/>
        </w:rPr>
        <w:t>less $</w:t>
      </w:r>
      <w:r w:rsidR="00CE5318">
        <w:rPr>
          <w:rFonts w:cs="Arial"/>
          <w:bCs/>
          <w:szCs w:val="24"/>
        </w:rPr>
        <w:t>391</w:t>
      </w:r>
      <w:r w:rsidR="00C12718">
        <w:rPr>
          <w:rFonts w:cs="Arial"/>
          <w:bCs/>
          <w:szCs w:val="24"/>
        </w:rPr>
        <w:t xml:space="preserve"> million </w:t>
      </w:r>
      <w:r w:rsidRPr="001A28D9" w:rsidR="00D23178">
        <w:rPr>
          <w:rFonts w:cs="Arial"/>
          <w:bCs/>
          <w:szCs w:val="24"/>
        </w:rPr>
        <w:t xml:space="preserve">of retirements and net plant adjustments recorded during the update period.  As shown on DCRF-RFP Schedule B-5, during </w:t>
      </w:r>
      <w:r w:rsidR="00487530">
        <w:rPr>
          <w:rFonts w:cs="Arial"/>
          <w:bCs/>
          <w:szCs w:val="24"/>
        </w:rPr>
        <w:t xml:space="preserve">the 18-month </w:t>
      </w:r>
      <w:r w:rsidR="00DF5D64">
        <w:rPr>
          <w:rFonts w:cs="Arial"/>
          <w:bCs/>
          <w:szCs w:val="24"/>
        </w:rPr>
        <w:t xml:space="preserve">DCRF </w:t>
      </w:r>
      <w:r w:rsidR="00487530">
        <w:rPr>
          <w:rFonts w:cs="Arial"/>
          <w:bCs/>
          <w:szCs w:val="24"/>
        </w:rPr>
        <w:t>update period,</w:t>
      </w:r>
      <w:r w:rsidRPr="001A28D9" w:rsidR="00D23178">
        <w:rPr>
          <w:rFonts w:cs="Arial"/>
          <w:bCs/>
          <w:szCs w:val="24"/>
        </w:rPr>
        <w:t xml:space="preserve"> the net credit provision of accumulated depreciation costs reflected in the Distribution rate base increased by $</w:t>
      </w:r>
      <w:r w:rsidR="00CE5318">
        <w:rPr>
          <w:rFonts w:cs="Arial"/>
          <w:bCs/>
          <w:szCs w:val="24"/>
        </w:rPr>
        <w:t>187.4</w:t>
      </w:r>
      <w:r w:rsidRPr="001A28D9" w:rsidR="00D23178">
        <w:rPr>
          <w:rFonts w:cs="Arial"/>
          <w:bCs/>
          <w:szCs w:val="24"/>
        </w:rPr>
        <w:t xml:space="preserve"> million.  In </w:t>
      </w:r>
      <w:r w:rsidRPr="001A28D9" w:rsidR="00D23178">
        <w:rPr>
          <w:rFonts w:cs="Arial"/>
          <w:bCs/>
          <w:szCs w:val="24"/>
        </w:rPr>
        <w:t xml:space="preserve">addition, as shown on DCRF-RFP Schedule E-3.10, Oncor’s net credit of accumulated deferred federal </w:t>
      </w:r>
      <w:r w:rsidR="00557965">
        <w:rPr>
          <w:rFonts w:cs="Arial"/>
          <w:bCs/>
          <w:szCs w:val="24"/>
        </w:rPr>
        <w:t>i</w:t>
      </w:r>
      <w:r w:rsidRPr="001A28D9" w:rsidR="00D23178">
        <w:rPr>
          <w:rFonts w:cs="Arial"/>
          <w:bCs/>
          <w:szCs w:val="24"/>
        </w:rPr>
        <w:t xml:space="preserve">ncome </w:t>
      </w:r>
      <w:r w:rsidR="00557965">
        <w:rPr>
          <w:rFonts w:cs="Arial"/>
          <w:bCs/>
          <w:szCs w:val="24"/>
        </w:rPr>
        <w:t>t</w:t>
      </w:r>
      <w:r w:rsidRPr="001A28D9" w:rsidR="00D23178">
        <w:rPr>
          <w:rFonts w:cs="Arial"/>
          <w:bCs/>
          <w:szCs w:val="24"/>
        </w:rPr>
        <w:t>axes (“ADFIT”) included in the Distribution rate base increased $</w:t>
      </w:r>
      <w:r w:rsidR="00CE5318">
        <w:rPr>
          <w:rFonts w:cs="Arial"/>
          <w:bCs/>
          <w:szCs w:val="24"/>
        </w:rPr>
        <w:t>25.3</w:t>
      </w:r>
      <w:r w:rsidRPr="001A28D9" w:rsidR="00D23178">
        <w:rPr>
          <w:rFonts w:cs="Arial"/>
          <w:bCs/>
          <w:szCs w:val="24"/>
        </w:rPr>
        <w:t xml:space="preserve"> million</w:t>
      </w:r>
      <w:r w:rsidR="00D23178">
        <w:rPr>
          <w:rFonts w:cs="Arial"/>
          <w:bCs/>
          <w:szCs w:val="24"/>
        </w:rPr>
        <w:t xml:space="preserve"> </w:t>
      </w:r>
      <w:r w:rsidR="00487530">
        <w:rPr>
          <w:rFonts w:cs="Arial"/>
          <w:bCs/>
          <w:szCs w:val="24"/>
        </w:rPr>
        <w:t>over the DCRF baseline based on the year-end 2021 values determined in Oncor’s most recent base-rate proceeding (Docket No. 53601).</w:t>
      </w:r>
    </w:p>
    <w:p w:rsidR="00793CCC" w:rsidP="00A556E3" w14:paraId="3C991988" w14:textId="598927A2">
      <w:pPr>
        <w:pStyle w:val="BodyTextIndent2"/>
        <w:ind w:hanging="720"/>
        <w:jc w:val="center"/>
        <w:rPr>
          <w:rFonts w:cs="Arial"/>
          <w:bCs/>
          <w:color w:val="auto"/>
          <w:szCs w:val="24"/>
          <w:shd w:val="clear" w:color="auto" w:fill="auto"/>
        </w:rPr>
      </w:pPr>
      <w:r>
        <w:rPr>
          <w:rFonts w:cs="Arial"/>
          <w:bCs/>
          <w:szCs w:val="24"/>
        </w:rPr>
        <w:t xml:space="preserve">A.  </w:t>
      </w:r>
      <w:r w:rsidRPr="00793CCC">
        <w:rPr>
          <w:rFonts w:cs="Arial"/>
          <w:bCs/>
          <w:szCs w:val="24"/>
          <w:u w:val="single"/>
        </w:rPr>
        <w:t>Components of Distribution Rate Base</w:t>
      </w:r>
    </w:p>
    <w:p w:rsidR="00793CCC" w:rsidP="00793CCC" w14:paraId="2559FFD6" w14:textId="75079A48">
      <w:pPr>
        <w:pStyle w:val="BodyTextIndent2"/>
        <w:ind w:hanging="720"/>
        <w:jc w:val="both"/>
        <w:rPr>
          <w:rFonts w:cs="Arial"/>
          <w:bCs/>
          <w:color w:val="auto"/>
          <w:szCs w:val="24"/>
          <w:shd w:val="clear" w:color="auto" w:fill="auto"/>
        </w:rPr>
      </w:pPr>
      <w:r>
        <w:rPr>
          <w:rFonts w:cs="Arial"/>
          <w:bCs/>
          <w:szCs w:val="24"/>
        </w:rPr>
        <w:t>Q.</w:t>
      </w:r>
      <w:r>
        <w:rPr>
          <w:rFonts w:cs="Arial"/>
          <w:bCs/>
          <w:szCs w:val="24"/>
        </w:rPr>
        <w:tab/>
        <w:t>PLEASE DESCRIBE THE COMPONENTS OF DISTRIBUTION RATE BASE REFLECTED ON SCHEDULE B OF THE DCRF-RFP.</w:t>
      </w:r>
    </w:p>
    <w:p w:rsidR="00ED095E" w:rsidP="00793CCC" w14:paraId="4E616AD0" w14:textId="291B42CE">
      <w:pPr>
        <w:pStyle w:val="BodyTextIndent2"/>
        <w:ind w:hanging="720"/>
        <w:jc w:val="both"/>
        <w:rPr>
          <w:rFonts w:eastAsiaTheme="minorHAnsi" w:cs="Arial"/>
          <w:color w:val="auto"/>
          <w:szCs w:val="24"/>
          <w:shd w:val="clear" w:color="auto" w:fill="auto"/>
        </w:rPr>
      </w:pPr>
      <w:r>
        <w:rPr>
          <w:rFonts w:cs="Arial"/>
          <w:bCs/>
          <w:szCs w:val="24"/>
        </w:rPr>
        <w:t>A.</w:t>
      </w:r>
      <w:r>
        <w:rPr>
          <w:rFonts w:cs="Arial"/>
          <w:bCs/>
          <w:szCs w:val="24"/>
        </w:rPr>
        <w:tab/>
        <w:t xml:space="preserve">Pursuant to 16 TAC </w:t>
      </w:r>
      <w:r w:rsidRPr="00BB02D6">
        <w:rPr>
          <w:rFonts w:eastAsiaTheme="minorHAnsi" w:cs="Arial"/>
          <w:szCs w:val="24"/>
        </w:rPr>
        <w:t>§</w:t>
      </w:r>
      <w:r>
        <w:rPr>
          <w:rFonts w:eastAsiaTheme="minorHAnsi" w:cs="Arial"/>
          <w:szCs w:val="24"/>
        </w:rPr>
        <w:t> </w:t>
      </w:r>
      <w:r>
        <w:rPr>
          <w:rFonts w:cs="Arial"/>
          <w:bCs/>
          <w:szCs w:val="24"/>
        </w:rPr>
        <w:t xml:space="preserve">25.243(b)(3), the “parts of the electric utility’s invested capital, as described in PURA </w:t>
      </w:r>
      <w:r w:rsidRPr="00BB02D6">
        <w:rPr>
          <w:rFonts w:eastAsiaTheme="minorHAnsi" w:cs="Arial"/>
          <w:szCs w:val="24"/>
        </w:rPr>
        <w:t>§</w:t>
      </w:r>
      <w:r>
        <w:rPr>
          <w:rFonts w:eastAsiaTheme="minorHAnsi" w:cs="Arial"/>
          <w:szCs w:val="24"/>
        </w:rPr>
        <w:t xml:space="preserve">36.053, that are categorized as distribution plant, distribution-related intangible plant, and distribution-related communication equipment and networks properly recorded in (FERC USOA) Accounts 303, 352, 353, 360 through 374, 391, and 397” are recognized as components of DIC subject to update in a DCRF proceeding.  Further, 16 TAC </w:t>
      </w:r>
      <w:r w:rsidRPr="00BB02D6">
        <w:rPr>
          <w:rFonts w:eastAsiaTheme="minorHAnsi" w:cs="Arial"/>
          <w:szCs w:val="24"/>
        </w:rPr>
        <w:t>§</w:t>
      </w:r>
      <w:r>
        <w:rPr>
          <w:rFonts w:eastAsiaTheme="minorHAnsi" w:cs="Arial"/>
          <w:szCs w:val="24"/>
        </w:rPr>
        <w:t> </w:t>
      </w:r>
      <w:r>
        <w:rPr>
          <w:rFonts w:cs="Arial"/>
          <w:bCs/>
          <w:szCs w:val="24"/>
        </w:rPr>
        <w:t>25.243(b)(4) defines “Net distribution invested capital” as DIC less accumulated depreciation and adjusted for any changes in distribution-related accumulated deferred federal income taxes and excluding any impact associated with Financial Accounting Standards Board Interpretation No. 48 (FIN 48).”</w:t>
      </w:r>
      <w:r w:rsidR="00EF032A">
        <w:rPr>
          <w:rFonts w:cs="Arial"/>
          <w:bCs/>
          <w:szCs w:val="24"/>
        </w:rPr>
        <w:t xml:space="preserve">  In addition to the guidance in the DCRF-RFP instructions, Finding of Fact No. 370 of the </w:t>
      </w:r>
      <w:r w:rsidR="00B253A8">
        <w:rPr>
          <w:rFonts w:cs="Arial"/>
          <w:bCs/>
          <w:szCs w:val="24"/>
        </w:rPr>
        <w:t>O</w:t>
      </w:r>
      <w:r w:rsidR="00EF032A">
        <w:rPr>
          <w:rFonts w:cs="Arial"/>
          <w:bCs/>
          <w:szCs w:val="24"/>
        </w:rPr>
        <w:t>rder</w:t>
      </w:r>
      <w:r w:rsidR="00CE5318">
        <w:rPr>
          <w:rFonts w:cs="Arial"/>
          <w:bCs/>
          <w:szCs w:val="24"/>
        </w:rPr>
        <w:t xml:space="preserve"> on Rehearing</w:t>
      </w:r>
      <w:r w:rsidR="00EF032A">
        <w:rPr>
          <w:rFonts w:cs="Arial"/>
          <w:bCs/>
          <w:szCs w:val="24"/>
        </w:rPr>
        <w:t xml:space="preserve"> in Docket No. 53601 provides that the “portion of plant-related ADFIT that has become an excess ADFIT regulatory liability based on the effects of the Tax Cuts and Jobs Act should be included in the DCRF baseline.”  Accordingly, the Net D</w:t>
      </w:r>
      <w:r w:rsidR="00490124">
        <w:rPr>
          <w:rFonts w:cs="Arial"/>
          <w:bCs/>
          <w:szCs w:val="24"/>
        </w:rPr>
        <w:t>IC</w:t>
      </w:r>
      <w:r w:rsidR="00EF032A">
        <w:rPr>
          <w:rFonts w:cs="Arial"/>
          <w:bCs/>
          <w:szCs w:val="24"/>
        </w:rPr>
        <w:t xml:space="preserve"> (</w:t>
      </w:r>
      <w:r w:rsidRPr="00212107" w:rsidR="00EF032A">
        <w:rPr>
          <w:rFonts w:cs="Arial"/>
          <w:bCs/>
          <w:i/>
          <w:iCs/>
          <w:szCs w:val="24"/>
        </w:rPr>
        <w:t>i.e.</w:t>
      </w:r>
      <w:r w:rsidR="00EF032A">
        <w:rPr>
          <w:rFonts w:cs="Arial"/>
          <w:bCs/>
          <w:szCs w:val="24"/>
        </w:rPr>
        <w:t xml:space="preserve">, Distribution rate base) reflected in this DCRF update application includes changes in the excess </w:t>
      </w:r>
      <w:r w:rsidR="00DE7729">
        <w:rPr>
          <w:rFonts w:cs="Arial"/>
          <w:bCs/>
          <w:szCs w:val="24"/>
        </w:rPr>
        <w:t>ADFIT</w:t>
      </w:r>
      <w:r w:rsidR="00EF032A">
        <w:rPr>
          <w:rFonts w:cs="Arial"/>
          <w:bCs/>
          <w:szCs w:val="24"/>
        </w:rPr>
        <w:t xml:space="preserve"> regulatory liability balance</w:t>
      </w:r>
      <w:r w:rsidR="006A041D">
        <w:rPr>
          <w:rFonts w:cs="Arial"/>
          <w:bCs/>
          <w:szCs w:val="24"/>
        </w:rPr>
        <w:t xml:space="preserve"> that is presently being returned to ratepayers.</w:t>
      </w:r>
    </w:p>
    <w:p w:rsidR="00113AB2" w:rsidRPr="00FB20AC" w:rsidP="00113AB2" w14:paraId="3D877677" w14:textId="77777777">
      <w:pPr>
        <w:pStyle w:val="NormalBold"/>
        <w:tabs>
          <w:tab w:val="left" w:pos="720"/>
        </w:tabs>
        <w:spacing w:line="360" w:lineRule="auto"/>
        <w:ind w:left="720" w:hanging="720"/>
        <w:jc w:val="both"/>
        <w:rPr>
          <w:rFonts w:ascii="Arial" w:hAnsi="Arial" w:cs="Arial"/>
          <w:b w:val="0"/>
          <w:color w:val="auto"/>
          <w:shd w:val="clear" w:color="auto" w:fill="auto"/>
        </w:rPr>
      </w:pPr>
      <w:r w:rsidRPr="00FB20AC">
        <w:rPr>
          <w:rFonts w:ascii="Arial" w:hAnsi="Arial" w:cs="Arial"/>
          <w:b w:val="0"/>
        </w:rPr>
        <w:t>Q.</w:t>
      </w:r>
      <w:r w:rsidRPr="00FB20AC">
        <w:rPr>
          <w:rFonts w:ascii="Arial" w:hAnsi="Arial" w:cs="Arial"/>
          <w:b w:val="0"/>
        </w:rPr>
        <w:tab/>
        <w:t>WHAT GUIDANCE IS AVAILABLE TO ENSURE THAT CAPITAL COSTS ARE PROPERLY RECORDED IN THE UPDATABLE DISTRIBUTION INVESTED CAPITAL ACCOUNTS?</w:t>
      </w:r>
    </w:p>
    <w:p w:rsidR="00113AB2" w:rsidRPr="00FB20AC" w:rsidP="00113AB2" w14:paraId="10D8874E" w14:textId="524FC0E7">
      <w:pPr>
        <w:pStyle w:val="NormalBold"/>
        <w:tabs>
          <w:tab w:val="left" w:pos="720"/>
        </w:tabs>
        <w:spacing w:line="360" w:lineRule="auto"/>
        <w:ind w:left="720" w:hanging="720"/>
        <w:jc w:val="both"/>
        <w:rPr>
          <w:rFonts w:ascii="Arial" w:hAnsi="Arial" w:cs="Arial"/>
          <w:b w:val="0"/>
          <w:color w:val="auto"/>
          <w:shd w:val="clear" w:color="auto" w:fill="auto"/>
        </w:rPr>
      </w:pPr>
      <w:r w:rsidRPr="00FB20AC">
        <w:rPr>
          <w:rFonts w:ascii="Arial" w:hAnsi="Arial" w:cs="Arial"/>
          <w:b w:val="0"/>
        </w:rPr>
        <w:t>A.</w:t>
      </w:r>
      <w:r w:rsidRPr="00FB20AC">
        <w:rPr>
          <w:rFonts w:ascii="Arial" w:hAnsi="Arial" w:cs="Arial"/>
          <w:b w:val="0"/>
        </w:rPr>
        <w:tab/>
        <w:t>In general, the FERC USOA defines the various components of electric plant as the “installed” cost of the asset [</w:t>
      </w:r>
      <w:r w:rsidRPr="00FB20AC">
        <w:rPr>
          <w:rFonts w:ascii="Arial" w:hAnsi="Arial" w:cs="Arial"/>
          <w:b w:val="0"/>
          <w:i/>
        </w:rPr>
        <w:t>e.g.</w:t>
      </w:r>
      <w:r w:rsidRPr="00FB20AC">
        <w:rPr>
          <w:rFonts w:ascii="Arial" w:hAnsi="Arial" w:cs="Arial"/>
          <w:b w:val="0"/>
        </w:rPr>
        <w:t>, FERC USOA no. 362 (</w:t>
      </w:r>
      <w:r w:rsidRPr="00FB20AC">
        <w:rPr>
          <w:rFonts w:ascii="Arial" w:hAnsi="Arial" w:cs="Arial"/>
          <w:b w:val="0"/>
          <w:i/>
        </w:rPr>
        <w:t>Station equipment</w:t>
      </w:r>
      <w:r w:rsidRPr="00FB20AC">
        <w:rPr>
          <w:rFonts w:ascii="Arial" w:hAnsi="Arial" w:cs="Arial"/>
          <w:b w:val="0"/>
        </w:rPr>
        <w:t>) provides that this “account shall include the cost installed of station equipment, including transformer banks, etc., which are used for the purpose of changing the characteristics of electricity in connection with its distribution,” and FERC USOA no. 364 (</w:t>
      </w:r>
      <w:r w:rsidRPr="00FB20AC">
        <w:rPr>
          <w:rFonts w:ascii="Arial" w:hAnsi="Arial" w:cs="Arial"/>
          <w:b w:val="0"/>
          <w:i/>
        </w:rPr>
        <w:t>Poles, towers and fixtures</w:t>
      </w:r>
      <w:r w:rsidRPr="00FB20AC">
        <w:rPr>
          <w:rFonts w:ascii="Arial" w:hAnsi="Arial" w:cs="Arial"/>
          <w:b w:val="0"/>
        </w:rPr>
        <w:t xml:space="preserve">) provides that this “account shall include the cost installed of poles, towers, and appurtenant fixtures used for supporting overhead distribution conductors and service wires.”]  </w:t>
      </w:r>
      <w:r w:rsidRPr="00FB20AC" w:rsidR="00FB20AC">
        <w:rPr>
          <w:rFonts w:ascii="Arial" w:hAnsi="Arial" w:cs="Arial"/>
          <w:b w:val="0"/>
        </w:rPr>
        <w:t>T</w:t>
      </w:r>
      <w:r w:rsidRPr="00FB20AC">
        <w:rPr>
          <w:rFonts w:ascii="Arial" w:hAnsi="Arial" w:cs="Arial"/>
          <w:b w:val="0"/>
        </w:rPr>
        <w:t>he FERC USOA</w:t>
      </w:r>
      <w:r w:rsidRPr="00FB20AC" w:rsidR="00FB20AC">
        <w:rPr>
          <w:rFonts w:ascii="Arial" w:hAnsi="Arial" w:cs="Arial"/>
          <w:b w:val="0"/>
        </w:rPr>
        <w:t xml:space="preserve"> descriptions</w:t>
      </w:r>
      <w:r w:rsidRPr="00FB20AC">
        <w:rPr>
          <w:rFonts w:ascii="Arial" w:hAnsi="Arial" w:cs="Arial"/>
          <w:b w:val="0"/>
        </w:rPr>
        <w:t xml:space="preserve"> for account numbers 368 (</w:t>
      </w:r>
      <w:r w:rsidRPr="00FB20AC">
        <w:rPr>
          <w:rFonts w:ascii="Arial" w:hAnsi="Arial" w:cs="Arial"/>
          <w:b w:val="0"/>
          <w:i/>
        </w:rPr>
        <w:t>Line transformers</w:t>
      </w:r>
      <w:r w:rsidRPr="00FB20AC">
        <w:rPr>
          <w:rFonts w:ascii="Arial" w:hAnsi="Arial" w:cs="Arial"/>
          <w:b w:val="0"/>
        </w:rPr>
        <w:t>) and 370 (</w:t>
      </w:r>
      <w:r w:rsidRPr="00FB20AC">
        <w:rPr>
          <w:rFonts w:ascii="Arial" w:hAnsi="Arial" w:cs="Arial"/>
          <w:b w:val="0"/>
          <w:i/>
        </w:rPr>
        <w:t>Meters</w:t>
      </w:r>
      <w:r w:rsidRPr="00FB20AC">
        <w:rPr>
          <w:rFonts w:ascii="Arial" w:hAnsi="Arial" w:cs="Arial"/>
          <w:b w:val="0"/>
        </w:rPr>
        <w:t>)</w:t>
      </w:r>
      <w:r w:rsidRPr="00FB20AC" w:rsidR="00FB20AC">
        <w:rPr>
          <w:rFonts w:ascii="Arial" w:hAnsi="Arial" w:cs="Arial"/>
          <w:b w:val="0"/>
        </w:rPr>
        <w:t xml:space="preserve"> </w:t>
      </w:r>
      <w:r w:rsidRPr="00FB20AC">
        <w:rPr>
          <w:rFonts w:ascii="Arial" w:hAnsi="Arial" w:cs="Arial"/>
          <w:b w:val="0"/>
        </w:rPr>
        <w:t>include the phrase “whether actually in service or held in reserve,” recognizing the necessity to maintain sufficient capital spares in readiness to facilitate electric delivery service reliability.  The FERC USOA also provides specific direction on recording the costs of land and land rights used in connection with distribution operations (</w:t>
      </w:r>
      <w:r w:rsidRPr="00FB20AC">
        <w:rPr>
          <w:rFonts w:ascii="Arial" w:hAnsi="Arial" w:cs="Arial"/>
          <w:b w:val="0"/>
          <w:i/>
        </w:rPr>
        <w:t>e.g.</w:t>
      </w:r>
      <w:r w:rsidRPr="00FB20AC">
        <w:rPr>
          <w:rFonts w:ascii="Arial" w:hAnsi="Arial" w:cs="Arial"/>
          <w:b w:val="0"/>
        </w:rPr>
        <w:t>, see FERC USOA n</w:t>
      </w:r>
      <w:r w:rsidR="00852608">
        <w:rPr>
          <w:rFonts w:ascii="Arial" w:hAnsi="Arial" w:cs="Arial"/>
          <w:b w:val="0"/>
        </w:rPr>
        <w:t>o.</w:t>
      </w:r>
      <w:r w:rsidRPr="00FB20AC">
        <w:rPr>
          <w:rFonts w:ascii="Arial" w:hAnsi="Arial" w:cs="Arial"/>
          <w:b w:val="0"/>
        </w:rPr>
        <w:t xml:space="preserve"> 360 and Electric Plant Instruction No. 7). </w:t>
      </w:r>
    </w:p>
    <w:p w:rsidR="00FB20AC" w:rsidRPr="00FB20AC" w:rsidP="00FB20AC" w14:paraId="29AEAE7D" w14:textId="77777777">
      <w:pPr>
        <w:pStyle w:val="NormalBold"/>
        <w:tabs>
          <w:tab w:val="left" w:pos="720"/>
        </w:tabs>
        <w:spacing w:line="360" w:lineRule="auto"/>
        <w:ind w:left="720" w:hanging="720"/>
        <w:jc w:val="both"/>
        <w:rPr>
          <w:rFonts w:ascii="Arial" w:hAnsi="Arial" w:cs="Arial"/>
          <w:b w:val="0"/>
          <w:color w:val="auto"/>
          <w:shd w:val="clear" w:color="auto" w:fill="auto"/>
        </w:rPr>
      </w:pPr>
      <w:r w:rsidRPr="00FB20AC">
        <w:rPr>
          <w:rFonts w:ascii="Arial" w:hAnsi="Arial" w:cs="Arial"/>
          <w:b w:val="0"/>
        </w:rPr>
        <w:t>Q.</w:t>
      </w:r>
      <w:r w:rsidRPr="00FB20AC">
        <w:rPr>
          <w:rFonts w:ascii="Arial" w:hAnsi="Arial" w:cs="Arial"/>
          <w:b w:val="0"/>
        </w:rPr>
        <w:tab/>
        <w:t>HAS ONCOR INCLUDED THE COSTS OF RESERVE TRANSFORMERS AND METER UNITS, AS REFLECTED IN ELECTRIC PLANT IN SERVICE, AS PART OF THIS DCRF UPDATE APPLICATION?</w:t>
      </w:r>
    </w:p>
    <w:p w:rsidR="00FB20AC" w:rsidRPr="00FB20AC" w:rsidP="00FB20AC" w14:paraId="2D68C3FC" w14:textId="519B277E">
      <w:pPr>
        <w:pStyle w:val="NormalBold"/>
        <w:tabs>
          <w:tab w:val="left" w:pos="720"/>
        </w:tabs>
        <w:spacing w:line="360" w:lineRule="auto"/>
        <w:ind w:left="720" w:hanging="720"/>
        <w:jc w:val="both"/>
        <w:rPr>
          <w:rFonts w:ascii="Arial" w:hAnsi="Arial" w:cs="Arial"/>
          <w:b w:val="0"/>
          <w:color w:val="auto"/>
          <w:shd w:val="clear" w:color="auto" w:fill="auto"/>
        </w:rPr>
      </w:pPr>
      <w:r w:rsidRPr="00FB20AC">
        <w:rPr>
          <w:rFonts w:ascii="Arial" w:hAnsi="Arial" w:cs="Arial"/>
          <w:b w:val="0"/>
        </w:rPr>
        <w:t>A.</w:t>
      </w:r>
      <w:r w:rsidRPr="00FB20AC">
        <w:rPr>
          <w:rFonts w:ascii="Arial" w:hAnsi="Arial" w:cs="Arial"/>
          <w:b w:val="0"/>
        </w:rPr>
        <w:tab/>
        <w:t xml:space="preserve">Yes.  Consistent with the FERC USOA guidance for the accounting of such costs and the Company’s long-standing accounting practice for reserve units, Oncor’s </w:t>
      </w:r>
      <w:r w:rsidR="00557965">
        <w:rPr>
          <w:rFonts w:ascii="Arial" w:hAnsi="Arial" w:cs="Arial"/>
          <w:b w:val="0"/>
        </w:rPr>
        <w:t>September</w:t>
      </w:r>
      <w:r w:rsidR="006A041D">
        <w:rPr>
          <w:rFonts w:ascii="Arial" w:hAnsi="Arial" w:cs="Arial"/>
          <w:b w:val="0"/>
        </w:rPr>
        <w:t xml:space="preserve"> </w:t>
      </w:r>
      <w:r w:rsidRPr="00FB20AC">
        <w:rPr>
          <w:rFonts w:ascii="Arial" w:hAnsi="Arial" w:cs="Arial"/>
          <w:b w:val="0"/>
        </w:rPr>
        <w:t xml:space="preserve">2023 DCRF update application reflects these costs in the calculation of </w:t>
      </w:r>
      <w:r w:rsidR="00490124">
        <w:rPr>
          <w:rFonts w:ascii="Arial" w:hAnsi="Arial" w:cs="Arial"/>
          <w:b w:val="0"/>
        </w:rPr>
        <w:t>DIC</w:t>
      </w:r>
      <w:r w:rsidRPr="00FB20AC">
        <w:rPr>
          <w:rFonts w:ascii="Arial" w:hAnsi="Arial" w:cs="Arial"/>
          <w:b w:val="0"/>
        </w:rPr>
        <w:t>.  Company witness Mr. Snelleman provides additional information about Oncor’s investment in transformers, capacitors, voltage regulators, and metering equipment in h</w:t>
      </w:r>
      <w:r>
        <w:rPr>
          <w:rFonts w:ascii="Arial" w:hAnsi="Arial" w:cs="Arial"/>
          <w:b w:val="0"/>
        </w:rPr>
        <w:t>is</w:t>
      </w:r>
      <w:r w:rsidRPr="00FB20AC">
        <w:rPr>
          <w:rFonts w:ascii="Arial" w:hAnsi="Arial" w:cs="Arial"/>
          <w:b w:val="0"/>
        </w:rPr>
        <w:t xml:space="preserve"> direct testimony, including details on reserve assets held in a ready for service condition.</w:t>
      </w:r>
    </w:p>
    <w:p w:rsidR="00113AB2" w:rsidRPr="00FB20AC" w:rsidP="00113AB2" w14:paraId="5DCB672B" w14:textId="77777777">
      <w:pPr>
        <w:pStyle w:val="NormalBold"/>
        <w:tabs>
          <w:tab w:val="left" w:pos="720"/>
        </w:tabs>
        <w:spacing w:line="360" w:lineRule="auto"/>
        <w:ind w:left="720" w:hanging="720"/>
        <w:jc w:val="both"/>
        <w:rPr>
          <w:rFonts w:ascii="Arial" w:hAnsi="Arial" w:cs="Arial"/>
          <w:b w:val="0"/>
          <w:color w:val="auto"/>
          <w:shd w:val="clear" w:color="auto" w:fill="auto"/>
        </w:rPr>
      </w:pPr>
      <w:r w:rsidRPr="00FB20AC">
        <w:rPr>
          <w:rFonts w:ascii="Arial" w:hAnsi="Arial" w:cs="Arial"/>
          <w:b w:val="0"/>
        </w:rPr>
        <w:t>Q.</w:t>
      </w:r>
      <w:r w:rsidRPr="00FB20AC">
        <w:rPr>
          <w:rFonts w:ascii="Arial" w:hAnsi="Arial" w:cs="Arial"/>
          <w:b w:val="0"/>
        </w:rPr>
        <w:tab/>
        <w:t>IS IT NECESSARY FOR ELECTRIC PLANT ASSETS TO BE “ENERGIZED” TO BE CONSIDERED IN SERVICE?</w:t>
      </w:r>
    </w:p>
    <w:p w:rsidR="00113AB2" w:rsidRPr="00FB20AC" w:rsidP="00113AB2" w14:paraId="5F41C06D" w14:textId="77777777">
      <w:pPr>
        <w:pStyle w:val="NormalBold"/>
        <w:tabs>
          <w:tab w:val="left" w:pos="720"/>
        </w:tabs>
        <w:spacing w:line="360" w:lineRule="auto"/>
        <w:ind w:left="720" w:hanging="720"/>
        <w:jc w:val="both"/>
        <w:rPr>
          <w:rFonts w:ascii="Arial" w:hAnsi="Arial" w:cs="Arial"/>
          <w:b w:val="0"/>
          <w:color w:val="auto"/>
          <w:shd w:val="clear" w:color="auto" w:fill="auto"/>
        </w:rPr>
      </w:pPr>
      <w:r w:rsidRPr="00FB20AC">
        <w:rPr>
          <w:rFonts w:ascii="Arial" w:hAnsi="Arial" w:cs="Arial"/>
          <w:b w:val="0"/>
        </w:rPr>
        <w:t>A.</w:t>
      </w:r>
      <w:r w:rsidRPr="00FB20AC">
        <w:rPr>
          <w:rFonts w:ascii="Arial" w:hAnsi="Arial" w:cs="Arial"/>
          <w:b w:val="0"/>
        </w:rPr>
        <w:tab/>
        <w:t xml:space="preserve">No.  FERC USOA Electric Plant Instruction No. 17 defines such reserve investment as </w:t>
      </w:r>
      <w:r w:rsidRPr="00FB20AC">
        <w:rPr>
          <w:rFonts w:ascii="Arial" w:hAnsi="Arial" w:cs="Arial"/>
          <w:b w:val="0"/>
          <w:i/>
        </w:rPr>
        <w:t>Electric Plant in Service</w:t>
      </w:r>
      <w:r w:rsidRPr="00FB20AC">
        <w:rPr>
          <w:rFonts w:ascii="Arial" w:hAnsi="Arial" w:cs="Arial"/>
          <w:b w:val="0"/>
        </w:rPr>
        <w:t xml:space="preserve">, noting that “(w)hen a part only of a plant or project is placed in operation or is completed and </w:t>
      </w:r>
      <w:r w:rsidRPr="00FB20AC">
        <w:rPr>
          <w:rFonts w:ascii="Arial" w:hAnsi="Arial" w:cs="Arial"/>
          <w:b w:val="0"/>
          <w:u w:val="single"/>
        </w:rPr>
        <w:t>ready for service</w:t>
      </w:r>
      <w:r w:rsidRPr="00FB20AC">
        <w:rPr>
          <w:rFonts w:ascii="Arial" w:hAnsi="Arial" w:cs="Arial"/>
          <w:b w:val="0"/>
        </w:rPr>
        <w:t xml:space="preserve"> </w:t>
      </w:r>
      <w:r w:rsidRPr="00FB20AC">
        <w:rPr>
          <w:rFonts w:ascii="Arial" w:hAnsi="Arial" w:cs="Arial"/>
          <w:b w:val="0"/>
        </w:rPr>
        <w:t xml:space="preserve">but the construction work as a whole is incomplete, that part of the cost of the property placed in operation or </w:t>
      </w:r>
      <w:r w:rsidRPr="00FB20AC">
        <w:rPr>
          <w:rFonts w:ascii="Arial" w:hAnsi="Arial" w:cs="Arial"/>
          <w:b w:val="0"/>
          <w:u w:val="single"/>
        </w:rPr>
        <w:t>ready for service</w:t>
      </w:r>
      <w:r w:rsidRPr="00FB20AC">
        <w:rPr>
          <w:rFonts w:ascii="Arial" w:hAnsi="Arial" w:cs="Arial"/>
          <w:b w:val="0"/>
        </w:rPr>
        <w:t xml:space="preserve">, shall be treated as </w:t>
      </w:r>
      <w:r w:rsidRPr="00FB20AC">
        <w:rPr>
          <w:rFonts w:ascii="Arial" w:hAnsi="Arial" w:cs="Arial"/>
          <w:b w:val="0"/>
          <w:i/>
        </w:rPr>
        <w:t>Electric Plant in Service</w:t>
      </w:r>
      <w:r w:rsidRPr="00FB20AC">
        <w:rPr>
          <w:rFonts w:ascii="Arial" w:hAnsi="Arial" w:cs="Arial"/>
          <w:b w:val="0"/>
        </w:rPr>
        <w:t xml:space="preserve"> and allowance for funds used during construction thereon as a charge to construction shall cease” (</w:t>
      </w:r>
      <w:r w:rsidRPr="00FB20AC">
        <w:rPr>
          <w:rFonts w:ascii="Arial" w:hAnsi="Arial" w:cs="Arial"/>
          <w:b w:val="0"/>
          <w:u w:val="single"/>
        </w:rPr>
        <w:t>emphasis added</w:t>
      </w:r>
      <w:r w:rsidRPr="00FB20AC">
        <w:rPr>
          <w:rFonts w:ascii="Arial" w:hAnsi="Arial" w:cs="Arial"/>
          <w:b w:val="0"/>
        </w:rPr>
        <w:t>).  Thus, assets that are ready for service, such as spare transformers, capacitors, and meters, are defined as Electric Plant in Service because they are ready for service, even though the installation related to their energization has not been completed.</w:t>
      </w:r>
    </w:p>
    <w:p w:rsidR="00113AB2" w:rsidRPr="00FB20AC" w:rsidP="00113AB2" w14:paraId="2AE9A706" w14:textId="77777777">
      <w:pPr>
        <w:pStyle w:val="NormalBold"/>
        <w:tabs>
          <w:tab w:val="left" w:pos="720"/>
        </w:tabs>
        <w:spacing w:line="360" w:lineRule="auto"/>
        <w:ind w:left="720" w:hanging="720"/>
        <w:jc w:val="both"/>
        <w:rPr>
          <w:rFonts w:ascii="Arial" w:hAnsi="Arial" w:cs="Arial"/>
          <w:b w:val="0"/>
          <w:color w:val="auto"/>
          <w:shd w:val="clear" w:color="auto" w:fill="auto"/>
        </w:rPr>
      </w:pPr>
      <w:r w:rsidRPr="00FB20AC">
        <w:rPr>
          <w:rFonts w:ascii="Arial" w:hAnsi="Arial" w:cs="Arial"/>
          <w:b w:val="0"/>
        </w:rPr>
        <w:t>Q.</w:t>
      </w:r>
      <w:r w:rsidRPr="00FB20AC">
        <w:rPr>
          <w:rFonts w:ascii="Arial" w:hAnsi="Arial" w:cs="Arial"/>
          <w:b w:val="0"/>
        </w:rPr>
        <w:tab/>
        <w:t>ARE THE COSTS OF DISTRIBUTION-RELATED ELECTRIC PLANT PROPERLY RECORDED IN ONCOR’S FINANCIAL AND ACCOUNTING SYSTEMS?</w:t>
      </w:r>
    </w:p>
    <w:p w:rsidR="00113AB2" w:rsidRPr="00FB20AC" w:rsidP="00113AB2" w14:paraId="60B962DA" w14:textId="0FFB6F50">
      <w:pPr>
        <w:pStyle w:val="NormalBold"/>
        <w:tabs>
          <w:tab w:val="left" w:pos="720"/>
        </w:tabs>
        <w:spacing w:line="360" w:lineRule="auto"/>
        <w:ind w:left="720" w:hanging="720"/>
        <w:jc w:val="both"/>
        <w:rPr>
          <w:rFonts w:ascii="Arial" w:hAnsi="Arial" w:cs="Arial"/>
          <w:b w:val="0"/>
          <w:color w:val="auto"/>
          <w:shd w:val="clear" w:color="auto" w:fill="auto"/>
        </w:rPr>
      </w:pPr>
      <w:r w:rsidRPr="00FB20AC">
        <w:rPr>
          <w:rFonts w:ascii="Arial" w:hAnsi="Arial" w:cs="Arial"/>
          <w:b w:val="0"/>
        </w:rPr>
        <w:t>A.</w:t>
      </w:r>
      <w:r w:rsidRPr="00FB20AC">
        <w:rPr>
          <w:rFonts w:ascii="Arial" w:hAnsi="Arial" w:cs="Arial"/>
          <w:b w:val="0"/>
        </w:rPr>
        <w:tab/>
        <w:t xml:space="preserve">Yes.   The components of Oncor’s distribution plant in service as of the end of the </w:t>
      </w:r>
      <w:r w:rsidR="00585925">
        <w:rPr>
          <w:rFonts w:ascii="Arial" w:hAnsi="Arial" w:cs="Arial"/>
          <w:b w:val="0"/>
        </w:rPr>
        <w:t>June 30, 2023</w:t>
      </w:r>
      <w:r w:rsidRPr="00FB20AC">
        <w:rPr>
          <w:rFonts w:ascii="Arial" w:hAnsi="Arial" w:cs="Arial"/>
          <w:b w:val="0"/>
        </w:rPr>
        <w:t xml:space="preserve"> DCRF update period are recorded at cost in accordance with FERC USOA guidelines and US GAAP.  Furthermore, the amounts are recorded in a manner that is consistent with Oncor’s accounting practices and policies that existed during the Company’s last base-rate proceeding, Docket No. </w:t>
      </w:r>
      <w:r w:rsidRPr="00FB20AC" w:rsidR="00FB20AC">
        <w:rPr>
          <w:rFonts w:ascii="Arial" w:hAnsi="Arial" w:cs="Arial"/>
          <w:b w:val="0"/>
        </w:rPr>
        <w:t>53601</w:t>
      </w:r>
      <w:r w:rsidRPr="00FB20AC">
        <w:rPr>
          <w:rFonts w:ascii="Arial" w:hAnsi="Arial" w:cs="Arial"/>
          <w:b w:val="0"/>
        </w:rPr>
        <w:t>.</w:t>
      </w:r>
    </w:p>
    <w:p w:rsidR="00113AB2" w:rsidRPr="00FB20AC" w:rsidP="00113AB2" w14:paraId="43121E96" w14:textId="77777777">
      <w:pPr>
        <w:pStyle w:val="NormalBold"/>
        <w:tabs>
          <w:tab w:val="left" w:pos="720"/>
        </w:tabs>
        <w:spacing w:line="360" w:lineRule="auto"/>
        <w:ind w:left="720" w:hanging="720"/>
        <w:jc w:val="both"/>
        <w:rPr>
          <w:rFonts w:ascii="Arial" w:hAnsi="Arial" w:cs="Arial"/>
          <w:b w:val="0"/>
          <w:color w:val="auto"/>
          <w:shd w:val="clear" w:color="auto" w:fill="auto"/>
        </w:rPr>
      </w:pPr>
      <w:r w:rsidRPr="00FB20AC">
        <w:rPr>
          <w:rFonts w:ascii="Arial" w:hAnsi="Arial" w:cs="Arial"/>
          <w:b w:val="0"/>
        </w:rPr>
        <w:t>Q.</w:t>
      </w:r>
      <w:r w:rsidRPr="00FB20AC">
        <w:rPr>
          <w:rFonts w:ascii="Arial" w:hAnsi="Arial" w:cs="Arial"/>
          <w:b w:val="0"/>
        </w:rPr>
        <w:tab/>
        <w:t>ARE THERE ADDITIONAL DISTRIBUTION ASSETS THAT ARE NOT PERMANENTLY INSTALLED REFLECTED IN THIS DCRF UPDATE APPLICATION?</w:t>
      </w:r>
    </w:p>
    <w:p w:rsidR="00113AB2" w:rsidRPr="00FB20AC" w:rsidP="00113AB2" w14:paraId="292C2EB8" w14:textId="0CA394F0">
      <w:pPr>
        <w:pStyle w:val="NormalBold"/>
        <w:tabs>
          <w:tab w:val="left" w:pos="720"/>
        </w:tabs>
        <w:spacing w:line="360" w:lineRule="auto"/>
        <w:ind w:left="720" w:hanging="720"/>
        <w:jc w:val="both"/>
        <w:rPr>
          <w:rFonts w:ascii="Arial" w:hAnsi="Arial" w:cs="Arial"/>
          <w:b w:val="0"/>
          <w:color w:val="auto"/>
          <w:shd w:val="clear" w:color="auto" w:fill="auto"/>
        </w:rPr>
      </w:pPr>
      <w:r w:rsidRPr="00FB20AC">
        <w:rPr>
          <w:rFonts w:ascii="Arial" w:hAnsi="Arial" w:cs="Arial"/>
          <w:b w:val="0"/>
        </w:rPr>
        <w:t>A.</w:t>
      </w:r>
      <w:r w:rsidRPr="00FB20AC">
        <w:rPr>
          <w:rFonts w:ascii="Arial" w:hAnsi="Arial" w:cs="Arial"/>
          <w:b w:val="0"/>
        </w:rPr>
        <w:tab/>
        <w:t>Yes.  As addressed in the direct testimony of M</w:t>
      </w:r>
      <w:r w:rsidRPr="00FB20AC" w:rsidR="00FB20AC">
        <w:rPr>
          <w:rFonts w:ascii="Arial" w:hAnsi="Arial" w:cs="Arial"/>
          <w:b w:val="0"/>
        </w:rPr>
        <w:t>r</w:t>
      </w:r>
      <w:r w:rsidRPr="00FB20AC">
        <w:rPr>
          <w:rFonts w:ascii="Arial" w:hAnsi="Arial" w:cs="Arial"/>
          <w:b w:val="0"/>
        </w:rPr>
        <w:t xml:space="preserve">. </w:t>
      </w:r>
      <w:r w:rsidRPr="00FB20AC" w:rsidR="00FB20AC">
        <w:rPr>
          <w:rFonts w:ascii="Arial" w:hAnsi="Arial" w:cs="Arial"/>
          <w:b w:val="0"/>
        </w:rPr>
        <w:t>Snelleman</w:t>
      </w:r>
      <w:r w:rsidRPr="00FB20AC">
        <w:rPr>
          <w:rFonts w:ascii="Arial" w:hAnsi="Arial" w:cs="Arial"/>
          <w:b w:val="0"/>
        </w:rPr>
        <w:t>, Oncor also maintains a number of spare distribution substation power transformers and mobile substation equipment to further enhance the Company’s ability to maintain the reliability of Oncor’s distribution system.  Similar to distribution plant reserve investment in transformers and meters, these critical capital spares are appropriately recorded in capital accounts as directed by the FERC USOA.  Further, such reserve assets are used and useful because they are “ready for service” in meeting the Company’s obligation to provide safe and dependable delivery of electricity to Oncor’s electric distribution customers.</w:t>
      </w:r>
    </w:p>
    <w:p w:rsidR="00113AB2" w:rsidRPr="00FB20AC" w:rsidP="00113AB2" w14:paraId="1F091499" w14:textId="77777777">
      <w:pPr>
        <w:pStyle w:val="NormalBold"/>
        <w:tabs>
          <w:tab w:val="left" w:pos="720"/>
        </w:tabs>
        <w:spacing w:line="360" w:lineRule="auto"/>
        <w:ind w:left="720" w:hanging="720"/>
        <w:jc w:val="both"/>
        <w:rPr>
          <w:rFonts w:ascii="Arial" w:hAnsi="Arial" w:cs="Arial"/>
          <w:b w:val="0"/>
          <w:color w:val="auto"/>
          <w:shd w:val="clear" w:color="auto" w:fill="auto"/>
        </w:rPr>
      </w:pPr>
      <w:r w:rsidRPr="00FB20AC">
        <w:rPr>
          <w:rFonts w:ascii="Arial" w:hAnsi="Arial" w:cs="Arial"/>
          <w:b w:val="0"/>
        </w:rPr>
        <w:t>Q.</w:t>
      </w:r>
      <w:r w:rsidRPr="00FB20AC">
        <w:rPr>
          <w:rFonts w:ascii="Arial" w:hAnsi="Arial" w:cs="Arial"/>
          <w:b w:val="0"/>
        </w:rPr>
        <w:tab/>
        <w:t>ARE THERE OTHER UNIQUE COMPONENTS OF DISTRIBUTION PLANT THAT ARE CONSIDERED READY FOR SERVICE WHEN ACQUIRED?</w:t>
      </w:r>
    </w:p>
    <w:p w:rsidR="00113AB2" w:rsidRPr="00FB20AC" w:rsidP="00113AB2" w14:paraId="3A67FD8F" w14:textId="4B016E12">
      <w:pPr>
        <w:pStyle w:val="NormalBold"/>
        <w:tabs>
          <w:tab w:val="left" w:pos="720"/>
        </w:tabs>
        <w:spacing w:line="360" w:lineRule="auto"/>
        <w:ind w:left="720" w:hanging="720"/>
        <w:jc w:val="both"/>
        <w:rPr>
          <w:rFonts w:ascii="Arial" w:hAnsi="Arial" w:cs="Arial"/>
          <w:b w:val="0"/>
          <w:color w:val="auto"/>
          <w:shd w:val="clear" w:color="auto" w:fill="auto"/>
        </w:rPr>
      </w:pPr>
      <w:r w:rsidRPr="00FB20AC">
        <w:rPr>
          <w:rFonts w:ascii="Arial" w:hAnsi="Arial" w:cs="Arial"/>
          <w:b w:val="0"/>
        </w:rPr>
        <w:t>A.</w:t>
      </w:r>
      <w:r w:rsidRPr="00FB20AC">
        <w:rPr>
          <w:rFonts w:ascii="Arial" w:hAnsi="Arial" w:cs="Arial"/>
          <w:b w:val="0"/>
        </w:rPr>
        <w:tab/>
        <w:t>Yes.  Notably, land owned in fee requires no construction activity to be capable of meeting its intended distribution plant purpose.  The FERC USOA is clear in directing that a Land and land rights account (</w:t>
      </w:r>
      <w:r w:rsidRPr="00FB20AC">
        <w:rPr>
          <w:rFonts w:ascii="Arial" w:hAnsi="Arial" w:cs="Arial"/>
          <w:b w:val="0"/>
          <w:i/>
        </w:rPr>
        <w:t>e.g.</w:t>
      </w:r>
      <w:r w:rsidRPr="00FB20AC">
        <w:rPr>
          <w:rFonts w:ascii="Arial" w:hAnsi="Arial" w:cs="Arial"/>
          <w:b w:val="0"/>
        </w:rPr>
        <w:t>, Account no. 360 for distribution plant)</w:t>
      </w:r>
      <w:r>
        <w:rPr>
          <w:rStyle w:val="FootnoteReference"/>
          <w:rFonts w:ascii="Arial" w:hAnsi="Arial" w:cs="Arial"/>
          <w:b w:val="0"/>
        </w:rPr>
        <w:footnoteReference w:id="10"/>
      </w:r>
      <w:r w:rsidRPr="00FB20AC">
        <w:rPr>
          <w:rFonts w:ascii="Arial" w:hAnsi="Arial" w:cs="Arial"/>
          <w:b w:val="0"/>
        </w:rPr>
        <w:t xml:space="preserve"> shall include the cost of the land owned in fee or rights, but any construction activity on the land shall be recorded in the appropriate plant accounts directly benefited (</w:t>
      </w:r>
      <w:r w:rsidRPr="00FB20AC">
        <w:rPr>
          <w:rFonts w:ascii="Arial" w:hAnsi="Arial" w:cs="Arial"/>
          <w:b w:val="0"/>
          <w:i/>
        </w:rPr>
        <w:t>e.g.</w:t>
      </w:r>
      <w:r w:rsidRPr="00FB20AC">
        <w:rPr>
          <w:rFonts w:ascii="Arial" w:hAnsi="Arial" w:cs="Arial"/>
          <w:b w:val="0"/>
        </w:rPr>
        <w:t>, Account no. 361 Structures and improvements).  Thus, land is considered to be ready for providing service when it is acquired.</w:t>
      </w:r>
    </w:p>
    <w:p w:rsidR="00113AB2" w:rsidRPr="00FB20AC" w:rsidP="00113AB2" w14:paraId="427737D5" w14:textId="6504A525">
      <w:pPr>
        <w:pStyle w:val="NormalBold"/>
        <w:tabs>
          <w:tab w:val="left" w:pos="720"/>
        </w:tabs>
        <w:spacing w:line="360" w:lineRule="auto"/>
        <w:ind w:left="720" w:hanging="720"/>
        <w:jc w:val="both"/>
        <w:rPr>
          <w:rFonts w:ascii="Arial" w:hAnsi="Arial" w:cs="Arial"/>
          <w:b w:val="0"/>
          <w:color w:val="auto"/>
          <w:shd w:val="clear" w:color="auto" w:fill="auto"/>
        </w:rPr>
      </w:pPr>
      <w:r w:rsidRPr="00FB20AC">
        <w:rPr>
          <w:rFonts w:ascii="Arial" w:hAnsi="Arial" w:cs="Arial"/>
          <w:b w:val="0"/>
        </w:rPr>
        <w:tab/>
      </w:r>
      <w:r w:rsidRPr="00FB20AC">
        <w:rPr>
          <w:rFonts w:ascii="Arial" w:hAnsi="Arial" w:cs="Arial"/>
          <w:b w:val="0"/>
        </w:rPr>
        <w:tab/>
        <w:t>As addressed in M</w:t>
      </w:r>
      <w:r w:rsidRPr="00FB20AC" w:rsidR="00FB20AC">
        <w:rPr>
          <w:rFonts w:ascii="Arial" w:hAnsi="Arial" w:cs="Arial"/>
          <w:b w:val="0"/>
        </w:rPr>
        <w:t>r</w:t>
      </w:r>
      <w:r w:rsidRPr="00FB20AC">
        <w:rPr>
          <w:rFonts w:ascii="Arial" w:hAnsi="Arial" w:cs="Arial"/>
          <w:b w:val="0"/>
        </w:rPr>
        <w:t xml:space="preserve">. </w:t>
      </w:r>
      <w:r w:rsidRPr="00FB20AC" w:rsidR="00FB20AC">
        <w:rPr>
          <w:rFonts w:ascii="Arial" w:hAnsi="Arial" w:cs="Arial"/>
          <w:b w:val="0"/>
        </w:rPr>
        <w:t>Snelleman</w:t>
      </w:r>
      <w:r w:rsidRPr="00FB20AC">
        <w:rPr>
          <w:rFonts w:ascii="Arial" w:hAnsi="Arial" w:cs="Arial"/>
          <w:b w:val="0"/>
        </w:rPr>
        <w:t>’s</w:t>
      </w:r>
      <w:r w:rsidRPr="00FB20AC">
        <w:rPr>
          <w:rFonts w:ascii="Arial" w:hAnsi="Arial" w:cs="Arial"/>
          <w:b w:val="0"/>
        </w:rPr>
        <w:t xml:space="preserve"> direct testimony, there are operational and economic reasons why Oncor must purchase land for substations in advance of construction.  In general, with regard to land for such future substation sites, Oncor records the land in plant in service if design and construction activities are expected to begin within 18-24 months.  Typically, for land where construction activities are not expected to commence within 24 months, the investment is recorded in electric plant held for future use (FERC USOA no. 105).  Only land additions that have been recorded in plant in service have been included in this DCRF update application.</w:t>
      </w:r>
    </w:p>
    <w:p w:rsidR="00113AB2" w:rsidRPr="00FB20AC" w:rsidP="00113AB2" w14:paraId="72A5BAE5" w14:textId="5720704A">
      <w:pPr>
        <w:pStyle w:val="NormalBold"/>
        <w:tabs>
          <w:tab w:val="left" w:pos="720"/>
        </w:tabs>
        <w:spacing w:line="360" w:lineRule="auto"/>
        <w:ind w:left="720" w:hanging="720"/>
        <w:jc w:val="both"/>
        <w:rPr>
          <w:rFonts w:ascii="Arial" w:hAnsi="Arial" w:cs="Arial"/>
          <w:b w:val="0"/>
          <w:color w:val="auto"/>
          <w:shd w:val="clear" w:color="auto" w:fill="auto"/>
        </w:rPr>
      </w:pPr>
      <w:r w:rsidRPr="00FB20AC">
        <w:rPr>
          <w:rFonts w:ascii="Arial" w:hAnsi="Arial" w:cs="Arial"/>
          <w:b w:val="0"/>
        </w:rPr>
        <w:t>Q.</w:t>
      </w:r>
      <w:r w:rsidRPr="00FB20AC">
        <w:rPr>
          <w:rFonts w:ascii="Arial" w:hAnsi="Arial" w:cs="Arial"/>
          <w:b w:val="0"/>
        </w:rPr>
        <w:tab/>
        <w:t>SINCE THE 20</w:t>
      </w:r>
      <w:r w:rsidRPr="00FB20AC" w:rsidR="00FB20AC">
        <w:rPr>
          <w:rFonts w:ascii="Arial" w:hAnsi="Arial" w:cs="Arial"/>
          <w:b w:val="0"/>
        </w:rPr>
        <w:t>21</w:t>
      </w:r>
      <w:r w:rsidRPr="00FB20AC">
        <w:rPr>
          <w:rFonts w:ascii="Arial" w:hAnsi="Arial" w:cs="Arial"/>
          <w:b w:val="0"/>
        </w:rPr>
        <w:t xml:space="preserve"> TEST-YEAR IN THE COMPANY’S MOST RECENT COMPREHENSIVE BASE-RATE PROCEEDING, HAS ONCOR IMPLEMENTED ANY CHANGE IN ACCOUNTING RULES OR PRACTICES THAT AFFECT DISTRIBUTION INVESTED CAPITAL?</w:t>
      </w:r>
    </w:p>
    <w:p w:rsidR="00113AB2" w:rsidP="00C612FA" w14:paraId="5F488443" w14:textId="7D0E40C9">
      <w:pPr>
        <w:pStyle w:val="NormalBold"/>
        <w:tabs>
          <w:tab w:val="left" w:pos="720"/>
        </w:tabs>
        <w:spacing w:line="360" w:lineRule="auto"/>
        <w:ind w:left="720" w:hanging="720"/>
        <w:jc w:val="both"/>
        <w:rPr>
          <w:rFonts w:cs="Arial"/>
          <w:bCs/>
          <w:color w:val="auto"/>
          <w:shd w:val="clear" w:color="auto" w:fill="auto"/>
        </w:rPr>
      </w:pPr>
      <w:r w:rsidRPr="00FB20AC">
        <w:rPr>
          <w:rFonts w:ascii="Arial" w:hAnsi="Arial" w:cs="Arial"/>
          <w:b w:val="0"/>
        </w:rPr>
        <w:t>A.</w:t>
      </w:r>
      <w:r w:rsidRPr="00FB20AC">
        <w:rPr>
          <w:rFonts w:ascii="Arial" w:hAnsi="Arial" w:cs="Arial"/>
          <w:b w:val="0"/>
        </w:rPr>
        <w:tab/>
        <w:t xml:space="preserve">No.  The adoption of new distribution property units or the adjustment of existing property unit definitions related to utility operations occurs in the normal course of business.  Oncor’s accounting practices reflect sufficient flexibility to address this dynamic nature of the industry.  </w:t>
      </w:r>
      <w:r w:rsidRPr="00FB20AC" w:rsidR="00FB20AC">
        <w:rPr>
          <w:rFonts w:ascii="Arial" w:hAnsi="Arial" w:cs="Arial"/>
          <w:b w:val="0"/>
        </w:rPr>
        <w:t xml:space="preserve">During </w:t>
      </w:r>
      <w:r w:rsidR="006A041D">
        <w:rPr>
          <w:rFonts w:ascii="Arial" w:hAnsi="Arial" w:cs="Arial"/>
          <w:b w:val="0"/>
        </w:rPr>
        <w:t xml:space="preserve">the 18-month </w:t>
      </w:r>
      <w:r w:rsidR="006A041D">
        <w:rPr>
          <w:rFonts w:ascii="Arial" w:hAnsi="Arial" w:cs="Arial"/>
          <w:b w:val="0"/>
        </w:rPr>
        <w:t xml:space="preserve">period ending June 30, </w:t>
      </w:r>
      <w:r w:rsidRPr="00FB20AC" w:rsidR="00FB20AC">
        <w:rPr>
          <w:rFonts w:ascii="Arial" w:hAnsi="Arial" w:cs="Arial"/>
          <w:b w:val="0"/>
        </w:rPr>
        <w:t>202</w:t>
      </w:r>
      <w:r w:rsidR="006A041D">
        <w:rPr>
          <w:rFonts w:ascii="Arial" w:hAnsi="Arial" w:cs="Arial"/>
          <w:b w:val="0"/>
        </w:rPr>
        <w:t>3</w:t>
      </w:r>
      <w:r w:rsidRPr="00FB20AC">
        <w:rPr>
          <w:rFonts w:ascii="Arial" w:hAnsi="Arial" w:cs="Arial"/>
          <w:b w:val="0"/>
        </w:rPr>
        <w:t>, Oncor modestly revised existing property units to break out certain smaller components to better reflect technological changes, safety improvements, or other operating practices.  The FERC USOA accounts affected by the creation of the newly adopted property units arising from such breakouts</w:t>
      </w:r>
      <w:r w:rsidR="00DB34C1">
        <w:rPr>
          <w:rFonts w:ascii="Arial" w:hAnsi="Arial" w:cs="Arial"/>
          <w:b w:val="0"/>
        </w:rPr>
        <w:t xml:space="preserve"> may</w:t>
      </w:r>
      <w:r w:rsidRPr="00FB20AC">
        <w:rPr>
          <w:rFonts w:ascii="Arial" w:hAnsi="Arial" w:cs="Arial"/>
          <w:b w:val="0"/>
        </w:rPr>
        <w:t xml:space="preserve"> include investment in accounts that are appropriately classified as distribution plant and are subject to update in a DCRF application.  </w:t>
      </w:r>
      <w:r w:rsidR="00DB34C1">
        <w:rPr>
          <w:rFonts w:ascii="Arial" w:hAnsi="Arial" w:cs="Arial"/>
          <w:b w:val="0"/>
        </w:rPr>
        <w:t>However, a</w:t>
      </w:r>
      <w:r w:rsidRPr="00FB20AC">
        <w:rPr>
          <w:rFonts w:ascii="Arial" w:hAnsi="Arial" w:cs="Arial"/>
          <w:b w:val="0"/>
        </w:rPr>
        <w:t xml:space="preserve">s of </w:t>
      </w:r>
      <w:r w:rsidR="00585925">
        <w:rPr>
          <w:rFonts w:ascii="Arial" w:hAnsi="Arial" w:cs="Arial"/>
          <w:b w:val="0"/>
        </w:rPr>
        <w:t>June 30, 2023</w:t>
      </w:r>
      <w:r w:rsidRPr="00FB20AC">
        <w:rPr>
          <w:rFonts w:ascii="Arial" w:hAnsi="Arial" w:cs="Arial"/>
          <w:b w:val="0"/>
        </w:rPr>
        <w:t xml:space="preserve">, </w:t>
      </w:r>
      <w:r w:rsidR="00413DD8">
        <w:rPr>
          <w:rFonts w:ascii="Arial" w:hAnsi="Arial" w:cs="Arial"/>
          <w:b w:val="0"/>
        </w:rPr>
        <w:t>there were no</w:t>
      </w:r>
      <w:r w:rsidRPr="00FB20AC">
        <w:rPr>
          <w:rFonts w:ascii="Arial" w:hAnsi="Arial" w:cs="Arial"/>
          <w:b w:val="0"/>
        </w:rPr>
        <w:t xml:space="preserve"> smaller newly-defined property units </w:t>
      </w:r>
      <w:r w:rsidR="00413DD8">
        <w:rPr>
          <w:rFonts w:ascii="Arial" w:hAnsi="Arial" w:cs="Arial"/>
          <w:b w:val="0"/>
        </w:rPr>
        <w:t>that had been created subsequent to the Docket No. 53601 test-year-end</w:t>
      </w:r>
      <w:r w:rsidRPr="00740500">
        <w:rPr>
          <w:rFonts w:ascii="Arial" w:hAnsi="Arial" w:cs="Arial"/>
          <w:b w:val="0"/>
        </w:rPr>
        <w:t>.</w:t>
      </w:r>
    </w:p>
    <w:p w:rsidR="00CE5FBB" w:rsidRPr="00793CCC" w:rsidP="00A556E3" w14:paraId="68F9A992" w14:textId="1BD629A3">
      <w:pPr>
        <w:pStyle w:val="BodyTextIndent2"/>
        <w:ind w:hanging="720"/>
        <w:jc w:val="center"/>
        <w:rPr>
          <w:bCs/>
          <w:color w:val="auto"/>
          <w:szCs w:val="24"/>
          <w:shd w:val="clear" w:color="auto" w:fill="auto"/>
        </w:rPr>
      </w:pPr>
      <w:r>
        <w:rPr>
          <w:rFonts w:cs="Arial"/>
          <w:bCs/>
          <w:szCs w:val="24"/>
        </w:rPr>
        <w:t>B</w:t>
      </w:r>
      <w:r w:rsidRPr="00793CCC" w:rsidR="00A556E3">
        <w:rPr>
          <w:rFonts w:cs="Arial"/>
          <w:bCs/>
          <w:szCs w:val="24"/>
        </w:rPr>
        <w:t xml:space="preserve">. </w:t>
      </w:r>
      <w:bookmarkEnd w:id="4"/>
      <w:r>
        <w:rPr>
          <w:rFonts w:cs="Arial"/>
          <w:bCs/>
          <w:szCs w:val="24"/>
        </w:rPr>
        <w:t xml:space="preserve"> </w:t>
      </w:r>
      <w:r w:rsidRPr="00793CCC" w:rsidR="00BC0EB1">
        <w:rPr>
          <w:rFonts w:cs="Arial"/>
          <w:bCs/>
          <w:szCs w:val="24"/>
          <w:u w:val="single"/>
        </w:rPr>
        <w:t>Distribution Investment at Transmission Substations</w:t>
      </w:r>
    </w:p>
    <w:p w:rsidR="00C612FA" w:rsidRPr="00CC18C8" w:rsidP="00C612FA" w14:paraId="61361EDE" w14:textId="7BA1BAB7">
      <w:pPr>
        <w:pStyle w:val="NormalBold"/>
        <w:tabs>
          <w:tab w:val="left" w:pos="720"/>
        </w:tabs>
        <w:spacing w:line="360" w:lineRule="auto"/>
        <w:ind w:left="720" w:hanging="720"/>
        <w:jc w:val="both"/>
        <w:rPr>
          <w:rFonts w:ascii="Arial" w:hAnsi="Arial" w:cs="Arial"/>
          <w:b w:val="0"/>
          <w:color w:val="auto"/>
          <w:shd w:val="clear" w:color="auto" w:fill="auto"/>
        </w:rPr>
      </w:pPr>
      <w:r>
        <w:rPr>
          <w:rFonts w:ascii="Arial" w:hAnsi="Arial" w:cs="Arial"/>
          <w:b w:val="0"/>
        </w:rPr>
        <w:t>Q.</w:t>
      </w:r>
      <w:r>
        <w:rPr>
          <w:rFonts w:ascii="Arial" w:hAnsi="Arial" w:cs="Arial"/>
          <w:b w:val="0"/>
        </w:rPr>
        <w:tab/>
      </w:r>
      <w:r w:rsidRPr="00CC18C8">
        <w:rPr>
          <w:rFonts w:ascii="Arial" w:hAnsi="Arial" w:cs="Arial"/>
          <w:b w:val="0"/>
        </w:rPr>
        <w:t>HAVE ANY AMOUNTS RECORDED TO TRANSMISSION ACCOUNTS BEEN REFLECTED IN ONCOR’S DCRF UPDATE APPLICATION?</w:t>
      </w:r>
    </w:p>
    <w:p w:rsidR="00DB6806" w:rsidP="00C612FA" w14:paraId="7C957BD1" w14:textId="76740AE5">
      <w:pPr>
        <w:pStyle w:val="NormalBold"/>
        <w:tabs>
          <w:tab w:val="left" w:pos="720"/>
        </w:tabs>
        <w:spacing w:line="360" w:lineRule="auto"/>
        <w:ind w:left="720" w:hanging="720"/>
        <w:jc w:val="both"/>
        <w:rPr>
          <w:rFonts w:ascii="Arial" w:hAnsi="Arial" w:cs="Arial"/>
          <w:b w:val="0"/>
          <w:color w:val="auto"/>
          <w:shd w:val="clear" w:color="auto" w:fill="auto"/>
        </w:rPr>
      </w:pPr>
      <w:r w:rsidRPr="00CC18C8">
        <w:rPr>
          <w:rFonts w:ascii="Arial" w:hAnsi="Arial" w:cs="Arial"/>
          <w:b w:val="0"/>
        </w:rPr>
        <w:t>A.</w:t>
      </w:r>
      <w:r w:rsidRPr="00CC18C8">
        <w:rPr>
          <w:rFonts w:ascii="Arial" w:hAnsi="Arial" w:cs="Arial"/>
          <w:b w:val="0"/>
        </w:rPr>
        <w:tab/>
        <w:t xml:space="preserve">Yes.  </w:t>
      </w:r>
      <w:r w:rsidR="00DF11BB">
        <w:rPr>
          <w:rFonts w:ascii="Arial" w:hAnsi="Arial" w:cs="Arial"/>
          <w:b w:val="0"/>
        </w:rPr>
        <w:t>As is common in the electricity delivery industry, t</w:t>
      </w:r>
      <w:r w:rsidRPr="00CC18C8">
        <w:rPr>
          <w:rFonts w:ascii="Arial" w:hAnsi="Arial" w:cs="Arial"/>
          <w:b w:val="0"/>
        </w:rPr>
        <w:t>he definition of</w:t>
      </w:r>
      <w:r w:rsidRPr="00CC18C8" w:rsidR="00CC18C8">
        <w:rPr>
          <w:rFonts w:ascii="Arial" w:hAnsi="Arial" w:cs="Arial"/>
          <w:b w:val="0"/>
        </w:rPr>
        <w:t xml:space="preserve"> “Distribution invested capital” prescribed in </w:t>
      </w:r>
      <w:r w:rsidRPr="00CC18C8">
        <w:rPr>
          <w:rFonts w:ascii="Arial" w:hAnsi="Arial" w:cs="Arial"/>
          <w:b w:val="0"/>
        </w:rPr>
        <w:t>16 TAC §</w:t>
      </w:r>
      <w:r w:rsidRPr="00CC18C8" w:rsidR="00CC18C8">
        <w:rPr>
          <w:rFonts w:ascii="Arial" w:hAnsi="Arial" w:cs="Arial"/>
          <w:b w:val="0"/>
        </w:rPr>
        <w:t> </w:t>
      </w:r>
      <w:r w:rsidRPr="00CC18C8">
        <w:rPr>
          <w:rFonts w:ascii="Arial" w:hAnsi="Arial" w:cs="Arial"/>
          <w:b w:val="0"/>
        </w:rPr>
        <w:t>25.243(b)(3)</w:t>
      </w:r>
      <w:r w:rsidRPr="00CC18C8" w:rsidR="00CC18C8">
        <w:rPr>
          <w:rFonts w:ascii="Arial" w:hAnsi="Arial" w:cs="Arial"/>
          <w:b w:val="0"/>
        </w:rPr>
        <w:t xml:space="preserve"> </w:t>
      </w:r>
      <w:r w:rsidRPr="00CC18C8">
        <w:rPr>
          <w:rFonts w:ascii="Arial" w:hAnsi="Arial" w:cs="Arial"/>
          <w:b w:val="0"/>
        </w:rPr>
        <w:t xml:space="preserve">includes </w:t>
      </w:r>
      <w:r w:rsidRPr="00CC18C8" w:rsidR="00CC18C8">
        <w:rPr>
          <w:rFonts w:ascii="Arial" w:hAnsi="Arial" w:cs="Arial"/>
          <w:b w:val="0"/>
        </w:rPr>
        <w:t xml:space="preserve">utility </w:t>
      </w:r>
      <w:r w:rsidRPr="00CC18C8">
        <w:rPr>
          <w:rFonts w:ascii="Arial" w:hAnsi="Arial" w:cs="Arial"/>
          <w:b w:val="0"/>
        </w:rPr>
        <w:t>plant recorded in FERC USOA Transmission Plant account numbers 352 (</w:t>
      </w:r>
      <w:r w:rsidRPr="00CC18C8">
        <w:rPr>
          <w:rFonts w:ascii="Arial" w:hAnsi="Arial" w:cs="Arial"/>
          <w:b w:val="0"/>
          <w:i/>
        </w:rPr>
        <w:t>Structures and improvements</w:t>
      </w:r>
      <w:r w:rsidRPr="00CC18C8">
        <w:rPr>
          <w:rFonts w:ascii="Arial" w:hAnsi="Arial" w:cs="Arial"/>
          <w:b w:val="0"/>
        </w:rPr>
        <w:t>) and 353 (</w:t>
      </w:r>
      <w:r w:rsidRPr="00CC18C8">
        <w:rPr>
          <w:rFonts w:ascii="Arial" w:hAnsi="Arial" w:cs="Arial"/>
          <w:b w:val="0"/>
          <w:i/>
        </w:rPr>
        <w:t>Station equipment</w:t>
      </w:r>
      <w:r w:rsidRPr="00CC18C8">
        <w:rPr>
          <w:rFonts w:ascii="Arial" w:hAnsi="Arial" w:cs="Arial"/>
          <w:b w:val="0"/>
        </w:rPr>
        <w:t xml:space="preserve">).  Oncor </w:t>
      </w:r>
      <w:r w:rsidRPr="00CC18C8" w:rsidR="00CC18C8">
        <w:rPr>
          <w:rFonts w:ascii="Arial" w:hAnsi="Arial" w:cs="Arial"/>
          <w:b w:val="0"/>
        </w:rPr>
        <w:t xml:space="preserve">has not recorded any </w:t>
      </w:r>
      <w:r w:rsidRPr="00CC18C8">
        <w:rPr>
          <w:rFonts w:ascii="Arial" w:hAnsi="Arial" w:cs="Arial"/>
          <w:b w:val="0"/>
        </w:rPr>
        <w:t xml:space="preserve">distribution-related </w:t>
      </w:r>
      <w:r w:rsidRPr="00CC18C8" w:rsidR="00CC18C8">
        <w:rPr>
          <w:rFonts w:ascii="Arial" w:hAnsi="Arial" w:cs="Arial"/>
          <w:b w:val="0"/>
        </w:rPr>
        <w:t xml:space="preserve">plant </w:t>
      </w:r>
      <w:r w:rsidRPr="00CC18C8">
        <w:rPr>
          <w:rFonts w:ascii="Arial" w:hAnsi="Arial" w:cs="Arial"/>
          <w:b w:val="0"/>
        </w:rPr>
        <w:t xml:space="preserve">investment in FERC USOA no. 352.  </w:t>
      </w:r>
      <w:r w:rsidRPr="00CC18C8" w:rsidR="00CC18C8">
        <w:rPr>
          <w:rFonts w:ascii="Arial" w:hAnsi="Arial" w:cs="Arial"/>
          <w:b w:val="0"/>
        </w:rPr>
        <w:t xml:space="preserve">However, even though </w:t>
      </w:r>
      <w:r w:rsidRPr="00CC18C8">
        <w:rPr>
          <w:rFonts w:ascii="Arial" w:hAnsi="Arial" w:cs="Arial"/>
          <w:b w:val="0"/>
        </w:rPr>
        <w:t xml:space="preserve">the </w:t>
      </w:r>
      <w:r w:rsidRPr="00CC18C8" w:rsidR="00CC18C8">
        <w:rPr>
          <w:rFonts w:ascii="Arial" w:hAnsi="Arial" w:cs="Arial"/>
          <w:b w:val="0"/>
        </w:rPr>
        <w:t xml:space="preserve">vast </w:t>
      </w:r>
      <w:r w:rsidRPr="00CC18C8">
        <w:rPr>
          <w:rFonts w:ascii="Arial" w:hAnsi="Arial" w:cs="Arial"/>
          <w:b w:val="0"/>
        </w:rPr>
        <w:t xml:space="preserve">majority of </w:t>
      </w:r>
      <w:r w:rsidRPr="00CC18C8" w:rsidR="00CC18C8">
        <w:rPr>
          <w:rFonts w:ascii="Arial" w:hAnsi="Arial" w:cs="Arial"/>
          <w:b w:val="0"/>
        </w:rPr>
        <w:t xml:space="preserve">Oncor’s </w:t>
      </w:r>
      <w:r w:rsidRPr="00CC18C8">
        <w:rPr>
          <w:rFonts w:ascii="Arial" w:hAnsi="Arial" w:cs="Arial"/>
          <w:b w:val="0"/>
        </w:rPr>
        <w:t xml:space="preserve">station </w:t>
      </w:r>
      <w:r w:rsidRPr="00CC18C8" w:rsidR="00CC18C8">
        <w:rPr>
          <w:rFonts w:ascii="Arial" w:hAnsi="Arial" w:cs="Arial"/>
          <w:b w:val="0"/>
        </w:rPr>
        <w:t>equipment recorded</w:t>
      </w:r>
      <w:r w:rsidRPr="00CC18C8">
        <w:rPr>
          <w:rFonts w:ascii="Arial" w:hAnsi="Arial" w:cs="Arial"/>
          <w:b w:val="0"/>
        </w:rPr>
        <w:t xml:space="preserve"> in FERC USOA no. 353 is transmission-related, </w:t>
      </w:r>
      <w:r w:rsidRPr="00CC18C8" w:rsidR="00CC18C8">
        <w:rPr>
          <w:rFonts w:ascii="Arial" w:hAnsi="Arial" w:cs="Arial"/>
          <w:b w:val="0"/>
        </w:rPr>
        <w:t xml:space="preserve">there are </w:t>
      </w:r>
      <w:r w:rsidRPr="00CC18C8">
        <w:rPr>
          <w:rFonts w:ascii="Arial" w:hAnsi="Arial" w:cs="Arial"/>
          <w:b w:val="0"/>
        </w:rPr>
        <w:t>certain elements of the</w:t>
      </w:r>
      <w:r w:rsidRPr="00CC18C8" w:rsidR="00CC18C8">
        <w:rPr>
          <w:rFonts w:ascii="Arial" w:hAnsi="Arial" w:cs="Arial"/>
          <w:b w:val="0"/>
        </w:rPr>
        <w:t>se station equipment</w:t>
      </w:r>
      <w:r w:rsidRPr="00CC18C8">
        <w:rPr>
          <w:rFonts w:ascii="Arial" w:hAnsi="Arial" w:cs="Arial"/>
          <w:b w:val="0"/>
        </w:rPr>
        <w:t xml:space="preserve"> costs </w:t>
      </w:r>
      <w:r w:rsidRPr="00CC18C8" w:rsidR="00CC18C8">
        <w:rPr>
          <w:rFonts w:ascii="Arial" w:hAnsi="Arial" w:cs="Arial"/>
          <w:b w:val="0"/>
        </w:rPr>
        <w:t>that function</w:t>
      </w:r>
      <w:r w:rsidRPr="00CC18C8">
        <w:rPr>
          <w:rFonts w:ascii="Arial" w:hAnsi="Arial" w:cs="Arial"/>
          <w:b w:val="0"/>
        </w:rPr>
        <w:t xml:space="preserve"> as distribution-related</w:t>
      </w:r>
      <w:r w:rsidRPr="00CC18C8" w:rsidR="00CC18C8">
        <w:rPr>
          <w:rFonts w:ascii="Arial" w:hAnsi="Arial" w:cs="Arial"/>
          <w:b w:val="0"/>
        </w:rPr>
        <w:t xml:space="preserve"> plant</w:t>
      </w:r>
      <w:r w:rsidRPr="00CC18C8">
        <w:rPr>
          <w:rFonts w:ascii="Arial" w:hAnsi="Arial" w:cs="Arial"/>
          <w:b w:val="0"/>
        </w:rPr>
        <w:t xml:space="preserve"> and</w:t>
      </w:r>
      <w:r w:rsidRPr="00CC18C8" w:rsidR="00CC18C8">
        <w:rPr>
          <w:rFonts w:ascii="Arial" w:hAnsi="Arial" w:cs="Arial"/>
          <w:b w:val="0"/>
        </w:rPr>
        <w:t xml:space="preserve"> are</w:t>
      </w:r>
      <w:r w:rsidRPr="00CC18C8">
        <w:rPr>
          <w:rFonts w:ascii="Arial" w:hAnsi="Arial" w:cs="Arial"/>
          <w:b w:val="0"/>
        </w:rPr>
        <w:t xml:space="preserve"> therefore</w:t>
      </w:r>
      <w:r w:rsidRPr="00CC18C8" w:rsidR="00CC18C8">
        <w:rPr>
          <w:rFonts w:ascii="Arial" w:hAnsi="Arial" w:cs="Arial"/>
          <w:b w:val="0"/>
        </w:rPr>
        <w:t xml:space="preserve"> included in the Company’s </w:t>
      </w:r>
      <w:r w:rsidRPr="00CC18C8">
        <w:rPr>
          <w:rFonts w:ascii="Arial" w:hAnsi="Arial" w:cs="Arial"/>
          <w:b w:val="0"/>
        </w:rPr>
        <w:t>DCRF</w:t>
      </w:r>
      <w:r w:rsidRPr="00CC18C8" w:rsidR="00CC18C8">
        <w:rPr>
          <w:rFonts w:ascii="Arial" w:hAnsi="Arial" w:cs="Arial"/>
          <w:b w:val="0"/>
        </w:rPr>
        <w:t xml:space="preserve"> update</w:t>
      </w:r>
      <w:r w:rsidRPr="00CC18C8">
        <w:rPr>
          <w:rFonts w:ascii="Arial" w:hAnsi="Arial" w:cs="Arial"/>
          <w:b w:val="0"/>
        </w:rPr>
        <w:t xml:space="preserve"> application</w:t>
      </w:r>
      <w:r w:rsidRPr="00CC18C8" w:rsidR="00CC18C8">
        <w:rPr>
          <w:rFonts w:ascii="Arial" w:hAnsi="Arial" w:cs="Arial"/>
          <w:b w:val="0"/>
        </w:rPr>
        <w:t>s</w:t>
      </w:r>
      <w:r w:rsidRPr="00CC18C8">
        <w:rPr>
          <w:rFonts w:ascii="Arial" w:hAnsi="Arial" w:cs="Arial"/>
          <w:b w:val="0"/>
        </w:rPr>
        <w:t>.</w:t>
      </w:r>
      <w:r w:rsidR="00CC18C8">
        <w:rPr>
          <w:rFonts w:ascii="Arial" w:hAnsi="Arial" w:cs="Arial"/>
          <w:b w:val="0"/>
        </w:rPr>
        <w:t xml:space="preserve">  </w:t>
      </w:r>
      <w:r w:rsidR="007D0DC0">
        <w:rPr>
          <w:rFonts w:ascii="Arial" w:hAnsi="Arial" w:cs="Arial"/>
          <w:b w:val="0"/>
        </w:rPr>
        <w:t>Further, a</w:t>
      </w:r>
      <w:r w:rsidR="00CC18C8">
        <w:rPr>
          <w:rFonts w:ascii="Arial" w:hAnsi="Arial" w:cs="Arial"/>
          <w:b w:val="0"/>
        </w:rPr>
        <w:t xml:space="preserve">s is also common in the electricity delivery industry, certain </w:t>
      </w:r>
      <w:r w:rsidRPr="00B340F5">
        <w:rPr>
          <w:rFonts w:ascii="Arial" w:hAnsi="Arial" w:cs="Arial"/>
          <w:b w:val="0"/>
        </w:rPr>
        <w:t>costs appropriately recorded</w:t>
      </w:r>
      <w:r w:rsidRPr="00B340F5" w:rsidR="00CC18C8">
        <w:rPr>
          <w:rFonts w:ascii="Arial" w:hAnsi="Arial" w:cs="Arial"/>
          <w:b w:val="0"/>
        </w:rPr>
        <w:t xml:space="preserve"> by Oncor</w:t>
      </w:r>
      <w:r w:rsidRPr="00B340F5">
        <w:rPr>
          <w:rFonts w:ascii="Arial" w:hAnsi="Arial" w:cs="Arial"/>
          <w:b w:val="0"/>
        </w:rPr>
        <w:t xml:space="preserve"> in FERC USOA Distribution Plant account numbers 361 (</w:t>
      </w:r>
      <w:r w:rsidRPr="00B340F5">
        <w:rPr>
          <w:rFonts w:ascii="Arial" w:hAnsi="Arial" w:cs="Arial"/>
          <w:b w:val="0"/>
          <w:i/>
        </w:rPr>
        <w:t>Structures and improvements</w:t>
      </w:r>
      <w:r w:rsidRPr="00B340F5">
        <w:rPr>
          <w:rFonts w:ascii="Arial" w:hAnsi="Arial" w:cs="Arial"/>
          <w:b w:val="0"/>
        </w:rPr>
        <w:t>) and 362 (</w:t>
      </w:r>
      <w:r w:rsidRPr="00B340F5">
        <w:rPr>
          <w:rFonts w:ascii="Arial" w:hAnsi="Arial" w:cs="Arial"/>
          <w:b w:val="0"/>
          <w:i/>
        </w:rPr>
        <w:t>Station equipment</w:t>
      </w:r>
      <w:r w:rsidRPr="00B340F5">
        <w:rPr>
          <w:rFonts w:ascii="Arial" w:hAnsi="Arial" w:cs="Arial"/>
          <w:b w:val="0"/>
        </w:rPr>
        <w:t xml:space="preserve">) </w:t>
      </w:r>
      <w:r w:rsidRPr="00B340F5" w:rsidR="00CC18C8">
        <w:rPr>
          <w:rFonts w:ascii="Arial" w:hAnsi="Arial" w:cs="Arial"/>
          <w:b w:val="0"/>
        </w:rPr>
        <w:t xml:space="preserve">function as transmission-related plant </w:t>
      </w:r>
      <w:r w:rsidR="007D0DC0">
        <w:rPr>
          <w:rFonts w:ascii="Arial" w:hAnsi="Arial" w:cs="Arial"/>
          <w:b w:val="0"/>
        </w:rPr>
        <w:t xml:space="preserve">and </w:t>
      </w:r>
      <w:r w:rsidRPr="00B340F5" w:rsidR="00CC18C8">
        <w:rPr>
          <w:rFonts w:ascii="Arial" w:hAnsi="Arial" w:cs="Arial"/>
          <w:b w:val="0"/>
        </w:rPr>
        <w:t xml:space="preserve">have been </w:t>
      </w:r>
      <w:r w:rsidRPr="00B340F5">
        <w:rPr>
          <w:rFonts w:ascii="Arial" w:hAnsi="Arial" w:cs="Arial"/>
          <w:b w:val="0"/>
        </w:rPr>
        <w:t>excluded from th</w:t>
      </w:r>
      <w:r w:rsidRPr="00B340F5" w:rsidR="00CC18C8">
        <w:rPr>
          <w:rFonts w:ascii="Arial" w:hAnsi="Arial" w:cs="Arial"/>
          <w:b w:val="0"/>
        </w:rPr>
        <w:t>e Company’s</w:t>
      </w:r>
      <w:r w:rsidRPr="00B340F5">
        <w:rPr>
          <w:rFonts w:ascii="Arial" w:hAnsi="Arial" w:cs="Arial"/>
          <w:b w:val="0"/>
        </w:rPr>
        <w:t xml:space="preserve"> DCRF update application</w:t>
      </w:r>
      <w:r w:rsidRPr="00B340F5" w:rsidR="00B340F5">
        <w:rPr>
          <w:rFonts w:ascii="Arial" w:hAnsi="Arial" w:cs="Arial"/>
          <w:b w:val="0"/>
        </w:rPr>
        <w:t>s.</w:t>
      </w:r>
      <w:r>
        <w:rPr>
          <w:rStyle w:val="FootnoteReference"/>
          <w:rFonts w:ascii="Arial" w:hAnsi="Arial" w:cs="Arial"/>
          <w:b w:val="0"/>
        </w:rPr>
        <w:footnoteReference w:id="11"/>
      </w:r>
      <w:r w:rsidRPr="00B340F5" w:rsidR="00B340F5">
        <w:rPr>
          <w:rFonts w:ascii="Arial" w:hAnsi="Arial" w:cs="Arial"/>
          <w:b w:val="0"/>
        </w:rPr>
        <w:t xml:space="preserve">  </w:t>
      </w:r>
    </w:p>
    <w:p w:rsidR="00DB6806" w:rsidP="00C612FA" w14:paraId="1C95A4F2" w14:textId="760B0BB8">
      <w:pPr>
        <w:pStyle w:val="NormalBold"/>
        <w:tabs>
          <w:tab w:val="left" w:pos="720"/>
        </w:tabs>
        <w:spacing w:line="360" w:lineRule="auto"/>
        <w:ind w:left="720" w:hanging="720"/>
        <w:jc w:val="both"/>
        <w:rPr>
          <w:rFonts w:ascii="Arial" w:hAnsi="Arial" w:cs="Arial"/>
          <w:b w:val="0"/>
          <w:color w:val="auto"/>
          <w:shd w:val="clear" w:color="auto" w:fill="auto"/>
        </w:rPr>
      </w:pPr>
      <w:r>
        <w:rPr>
          <w:rFonts w:ascii="Arial" w:hAnsi="Arial" w:cs="Arial"/>
          <w:b w:val="0"/>
        </w:rPr>
        <w:t>Q.</w:t>
      </w:r>
      <w:r>
        <w:rPr>
          <w:rFonts w:ascii="Arial" w:hAnsi="Arial" w:cs="Arial"/>
          <w:b w:val="0"/>
        </w:rPr>
        <w:tab/>
        <w:t>HOW IS ONCOR ABLE TO DISTINGUISH WHETHER ELECTRIC PLANT RECORDED IN FERC USOA ACCOUNT NUMBERS 352, 353, 361, AND 362 SHOULD BE CLASSIFIED AS DISTRIBUTION-RELATED PLANT?</w:t>
      </w:r>
    </w:p>
    <w:p w:rsidR="00C612FA" w:rsidRPr="00DB6806" w:rsidP="00C612FA" w14:paraId="744B1651" w14:textId="3FDCC656">
      <w:pPr>
        <w:pStyle w:val="NormalBold"/>
        <w:tabs>
          <w:tab w:val="left" w:pos="720"/>
        </w:tabs>
        <w:spacing w:line="360" w:lineRule="auto"/>
        <w:ind w:left="720" w:hanging="720"/>
        <w:jc w:val="both"/>
        <w:rPr>
          <w:rFonts w:ascii="Arial" w:hAnsi="Arial" w:cs="Arial"/>
          <w:b w:val="0"/>
          <w:color w:val="auto"/>
          <w:shd w:val="clear" w:color="auto" w:fill="auto"/>
        </w:rPr>
      </w:pPr>
      <w:r w:rsidRPr="00DB6806">
        <w:rPr>
          <w:rFonts w:ascii="Arial" w:hAnsi="Arial" w:cs="Arial"/>
          <w:b w:val="0"/>
        </w:rPr>
        <w:t>A.</w:t>
      </w:r>
      <w:r w:rsidRPr="00DB6806">
        <w:rPr>
          <w:rFonts w:ascii="Arial" w:hAnsi="Arial" w:cs="Arial"/>
          <w:b w:val="0"/>
        </w:rPr>
        <w:tab/>
        <w:t>Oncor’s plant accounting records reflect the voltage rating of substation equipment and provide a reasonable functional assignment between distribution and transmission operations for much of the investment.  However, certain substation equipment is common to both distribution and transmission facilities.  These common costs are allocated between distribution and transmission based on the percentage of the value of the directly assignable distribution and transmission costs to total assignable costs.  This long-employed accounting practice is consistent with the cost allocation methodology used in Oncor’s last base-rate case (Docket No. 53601).</w:t>
      </w:r>
    </w:p>
    <w:p w:rsidR="00C612FA" w:rsidRPr="00105C03" w:rsidP="00C612FA" w14:paraId="7FA4224D" w14:textId="3C0E9E83">
      <w:pPr>
        <w:pStyle w:val="NormalBold"/>
        <w:tabs>
          <w:tab w:val="left" w:pos="720"/>
        </w:tabs>
        <w:spacing w:line="360" w:lineRule="auto"/>
        <w:ind w:left="720" w:hanging="720"/>
        <w:jc w:val="both"/>
        <w:rPr>
          <w:rFonts w:ascii="Arial" w:hAnsi="Arial" w:cs="Arial"/>
          <w:b w:val="0"/>
          <w:color w:val="auto"/>
          <w:shd w:val="clear" w:color="auto" w:fill="auto"/>
        </w:rPr>
      </w:pPr>
      <w:r w:rsidRPr="00105C03">
        <w:rPr>
          <w:rFonts w:ascii="Arial" w:hAnsi="Arial" w:cs="Arial"/>
          <w:b w:val="0"/>
        </w:rPr>
        <w:tab/>
      </w:r>
      <w:r w:rsidRPr="00105C03">
        <w:rPr>
          <w:rFonts w:ascii="Arial" w:hAnsi="Arial" w:cs="Arial"/>
          <w:b w:val="0"/>
        </w:rPr>
        <w:tab/>
      </w:r>
      <w:r w:rsidRPr="001A28D9">
        <w:rPr>
          <w:rFonts w:ascii="Arial" w:hAnsi="Arial" w:cs="Arial"/>
          <w:b w:val="0"/>
        </w:rPr>
        <w:t>A</w:t>
      </w:r>
      <w:r w:rsidRPr="001A28D9" w:rsidR="00105C03">
        <w:rPr>
          <w:rFonts w:ascii="Arial" w:hAnsi="Arial" w:cs="Arial"/>
          <w:b w:val="0"/>
        </w:rPr>
        <w:t>ccordingly, a</w:t>
      </w:r>
      <w:r w:rsidRPr="001A28D9">
        <w:rPr>
          <w:rFonts w:ascii="Arial" w:hAnsi="Arial" w:cs="Arial"/>
          <w:b w:val="0"/>
        </w:rPr>
        <w:t>s shown in my Exhibit WAL-2, a</w:t>
      </w:r>
      <w:r w:rsidRPr="001A28D9" w:rsidR="00053E25">
        <w:rPr>
          <w:rFonts w:ascii="Arial" w:hAnsi="Arial" w:cs="Arial"/>
          <w:b w:val="0"/>
        </w:rPr>
        <w:t>pproximately</w:t>
      </w:r>
      <w:r w:rsidRPr="001A28D9">
        <w:rPr>
          <w:rFonts w:ascii="Arial" w:hAnsi="Arial" w:cs="Arial"/>
          <w:b w:val="0"/>
        </w:rPr>
        <w:t xml:space="preserve"> $</w:t>
      </w:r>
      <w:r w:rsidR="00CE5318">
        <w:rPr>
          <w:rFonts w:ascii="Arial" w:hAnsi="Arial" w:cs="Arial"/>
          <w:b w:val="0"/>
        </w:rPr>
        <w:t>420.0</w:t>
      </w:r>
      <w:r w:rsidRPr="001A28D9">
        <w:rPr>
          <w:rFonts w:ascii="Arial" w:hAnsi="Arial" w:cs="Arial"/>
          <w:b w:val="0"/>
        </w:rPr>
        <w:t xml:space="preserve"> million ($</w:t>
      </w:r>
      <w:r w:rsidR="00CE5318">
        <w:rPr>
          <w:rFonts w:ascii="Arial" w:hAnsi="Arial" w:cs="Arial"/>
          <w:b w:val="0"/>
        </w:rPr>
        <w:t>301.8</w:t>
      </w:r>
      <w:r w:rsidRPr="001A28D9">
        <w:rPr>
          <w:rFonts w:ascii="Arial" w:hAnsi="Arial" w:cs="Arial"/>
          <w:b w:val="0"/>
        </w:rPr>
        <w:t xml:space="preserve"> million, net of accumulated depreciation) of the investment recorded in Oncor’s FERC USOA no. 353 is allocated to the distribution function and appropriately reflected in this DCRF update application.  </w:t>
      </w:r>
      <w:r w:rsidRPr="001A28D9" w:rsidR="00752C2A">
        <w:rPr>
          <w:rFonts w:ascii="Arial" w:hAnsi="Arial" w:cs="Arial"/>
          <w:b w:val="0"/>
        </w:rPr>
        <w:t>Converse</w:t>
      </w:r>
      <w:r w:rsidRPr="001A28D9">
        <w:rPr>
          <w:rFonts w:ascii="Arial" w:hAnsi="Arial" w:cs="Arial"/>
          <w:b w:val="0"/>
        </w:rPr>
        <w:t>ly,</w:t>
      </w:r>
      <w:r w:rsidRPr="001A28D9" w:rsidR="00B94370">
        <w:rPr>
          <w:rFonts w:ascii="Arial" w:hAnsi="Arial" w:cs="Arial"/>
          <w:b w:val="0"/>
        </w:rPr>
        <w:t xml:space="preserve"> as reflected in the T</w:t>
      </w:r>
      <w:r w:rsidR="00CE5318">
        <w:rPr>
          <w:rFonts w:ascii="Arial" w:hAnsi="Arial" w:cs="Arial"/>
          <w:b w:val="0"/>
        </w:rPr>
        <w:t>RAN</w:t>
      </w:r>
      <w:r w:rsidRPr="001A28D9" w:rsidR="00B94370">
        <w:rPr>
          <w:rFonts w:ascii="Arial" w:hAnsi="Arial" w:cs="Arial"/>
          <w:b w:val="0"/>
        </w:rPr>
        <w:t xml:space="preserve"> column of my Exhibit WAL-2,</w:t>
      </w:r>
      <w:r w:rsidRPr="001A28D9">
        <w:rPr>
          <w:rFonts w:ascii="Arial" w:hAnsi="Arial" w:cs="Arial"/>
          <w:b w:val="0"/>
        </w:rPr>
        <w:t xml:space="preserve"> a</w:t>
      </w:r>
      <w:r w:rsidRPr="001A28D9" w:rsidR="00053E25">
        <w:rPr>
          <w:rFonts w:ascii="Arial" w:hAnsi="Arial" w:cs="Arial"/>
          <w:b w:val="0"/>
        </w:rPr>
        <w:t>pproximately</w:t>
      </w:r>
      <w:r w:rsidRPr="001A28D9">
        <w:rPr>
          <w:rFonts w:ascii="Arial" w:hAnsi="Arial" w:cs="Arial"/>
          <w:b w:val="0"/>
        </w:rPr>
        <w:t xml:space="preserve"> $</w:t>
      </w:r>
      <w:r w:rsidR="00CE5318">
        <w:rPr>
          <w:rFonts w:ascii="Arial" w:hAnsi="Arial" w:cs="Arial"/>
          <w:b w:val="0"/>
        </w:rPr>
        <w:t>783.3</w:t>
      </w:r>
      <w:r w:rsidRPr="001A28D9">
        <w:rPr>
          <w:rFonts w:ascii="Arial" w:hAnsi="Arial" w:cs="Arial"/>
          <w:b w:val="0"/>
        </w:rPr>
        <w:t xml:space="preserve"> million ($</w:t>
      </w:r>
      <w:r w:rsidR="00CE5318">
        <w:rPr>
          <w:rFonts w:ascii="Arial" w:hAnsi="Arial" w:cs="Arial"/>
          <w:b w:val="0"/>
        </w:rPr>
        <w:t>645.5</w:t>
      </w:r>
      <w:r w:rsidRPr="001A28D9">
        <w:rPr>
          <w:rFonts w:ascii="Arial" w:hAnsi="Arial" w:cs="Arial"/>
          <w:b w:val="0"/>
        </w:rPr>
        <w:t xml:space="preserve"> million</w:t>
      </w:r>
      <w:r w:rsidRPr="00105C03">
        <w:rPr>
          <w:rFonts w:ascii="Arial" w:hAnsi="Arial" w:cs="Arial"/>
          <w:b w:val="0"/>
        </w:rPr>
        <w:t>, net of accumulated depreciation) of the land and other investment recorded in Oncor’s FERC USOA numbers 360, 361, and 362 a</w:t>
      </w:r>
      <w:r w:rsidRPr="00105C03" w:rsidR="00105C03">
        <w:rPr>
          <w:rFonts w:ascii="Arial" w:hAnsi="Arial" w:cs="Arial"/>
          <w:b w:val="0"/>
        </w:rPr>
        <w:t xml:space="preserve">t </w:t>
      </w:r>
      <w:r w:rsidR="007D0DC0">
        <w:rPr>
          <w:rFonts w:ascii="Arial" w:hAnsi="Arial" w:cs="Arial"/>
          <w:b w:val="0"/>
        </w:rPr>
        <w:t>June 30, 2023</w:t>
      </w:r>
      <w:r w:rsidRPr="00105C03" w:rsidR="00105C03">
        <w:rPr>
          <w:rFonts w:ascii="Arial" w:hAnsi="Arial" w:cs="Arial"/>
          <w:b w:val="0"/>
        </w:rPr>
        <w:t xml:space="preserve"> have been </w:t>
      </w:r>
      <w:r w:rsidRPr="00105C03">
        <w:rPr>
          <w:rFonts w:ascii="Arial" w:hAnsi="Arial" w:cs="Arial"/>
          <w:b w:val="0"/>
        </w:rPr>
        <w:t>excluded from this DCRF update application.</w:t>
      </w:r>
    </w:p>
    <w:p w:rsidR="00C612FA" w:rsidRPr="00823AB5" w:rsidP="00C612FA" w14:paraId="56C4CDFF" w14:textId="2C102B0D">
      <w:pPr>
        <w:tabs>
          <w:tab w:val="left" w:pos="720"/>
          <w:tab w:val="right" w:leader="dot" w:pos="8640"/>
        </w:tabs>
        <w:spacing w:line="360" w:lineRule="auto"/>
        <w:ind w:left="720"/>
        <w:jc w:val="center"/>
        <w:rPr>
          <w:bCs/>
          <w:color w:val="auto"/>
          <w:u w:val="single"/>
          <w:shd w:val="clear" w:color="auto" w:fill="auto"/>
        </w:rPr>
      </w:pPr>
      <w:r w:rsidRPr="00823AB5">
        <w:rPr>
          <w:bCs/>
        </w:rPr>
        <w:t xml:space="preserve">C.  </w:t>
      </w:r>
      <w:r w:rsidRPr="00823AB5">
        <w:rPr>
          <w:bCs/>
          <w:u w:val="single"/>
        </w:rPr>
        <w:t xml:space="preserve">Other Distribution </w:t>
      </w:r>
      <w:r w:rsidR="00CC61F9">
        <w:rPr>
          <w:bCs/>
          <w:u w:val="single"/>
        </w:rPr>
        <w:t xml:space="preserve">and Distribution-Related </w:t>
      </w:r>
      <w:r w:rsidRPr="00823AB5">
        <w:rPr>
          <w:bCs/>
          <w:u w:val="single"/>
        </w:rPr>
        <w:t>Investment</w:t>
      </w:r>
    </w:p>
    <w:p w:rsidR="00C612FA" w:rsidRPr="00D952C5" w:rsidP="00C612FA" w14:paraId="571F8A60" w14:textId="4205B2A2">
      <w:pPr>
        <w:pStyle w:val="NormalBold"/>
        <w:tabs>
          <w:tab w:val="left" w:pos="720"/>
        </w:tabs>
        <w:spacing w:line="360" w:lineRule="auto"/>
        <w:ind w:left="720" w:hanging="720"/>
        <w:jc w:val="both"/>
        <w:rPr>
          <w:rFonts w:ascii="Arial" w:hAnsi="Arial" w:cs="Arial"/>
          <w:b w:val="0"/>
          <w:color w:val="auto"/>
          <w:shd w:val="clear" w:color="auto" w:fill="auto"/>
        </w:rPr>
      </w:pPr>
      <w:r w:rsidRPr="00D952C5">
        <w:rPr>
          <w:rFonts w:ascii="Arial" w:hAnsi="Arial" w:cs="Arial"/>
          <w:b w:val="0"/>
        </w:rPr>
        <w:t>Q.</w:t>
      </w:r>
      <w:r w:rsidRPr="00D952C5">
        <w:rPr>
          <w:rFonts w:ascii="Arial" w:hAnsi="Arial" w:cs="Arial"/>
          <w:b w:val="0"/>
        </w:rPr>
        <w:tab/>
        <w:t>HA</w:t>
      </w:r>
      <w:r w:rsidRPr="00D952C5" w:rsidR="009C0422">
        <w:rPr>
          <w:rFonts w:ascii="Arial" w:hAnsi="Arial" w:cs="Arial"/>
          <w:b w:val="0"/>
        </w:rPr>
        <w:t>S ONC</w:t>
      </w:r>
      <w:r w:rsidR="00845341">
        <w:rPr>
          <w:rFonts w:ascii="Arial" w:hAnsi="Arial" w:cs="Arial"/>
          <w:b w:val="0"/>
        </w:rPr>
        <w:t>OR</w:t>
      </w:r>
      <w:r w:rsidRPr="00D952C5" w:rsidR="009C0422">
        <w:rPr>
          <w:rFonts w:ascii="Arial" w:hAnsi="Arial" w:cs="Arial"/>
          <w:b w:val="0"/>
        </w:rPr>
        <w:t xml:space="preserve"> INCLUDED</w:t>
      </w:r>
      <w:r w:rsidRPr="00D952C5">
        <w:rPr>
          <w:rFonts w:ascii="Arial" w:hAnsi="Arial" w:cs="Arial"/>
          <w:b w:val="0"/>
        </w:rPr>
        <w:t xml:space="preserve"> ANY AMOUNTS RECORDED IN INTANGIBLE AND GENERAL PLANT ACCOUNTS IN THIS DCRF UPDATE REQUEST?</w:t>
      </w:r>
    </w:p>
    <w:p w:rsidR="00C612FA" w:rsidRPr="00D952C5" w:rsidP="00C612FA" w14:paraId="700C5D70" w14:textId="7DFF2CD9">
      <w:pPr>
        <w:pStyle w:val="NormalBold"/>
        <w:tabs>
          <w:tab w:val="left" w:pos="720"/>
        </w:tabs>
        <w:spacing w:line="360" w:lineRule="auto"/>
        <w:ind w:left="720" w:hanging="720"/>
        <w:jc w:val="both"/>
        <w:rPr>
          <w:rFonts w:ascii="Arial" w:hAnsi="Arial" w:cs="Arial"/>
          <w:b w:val="0"/>
          <w:color w:val="auto"/>
          <w:shd w:val="clear" w:color="auto" w:fill="auto"/>
        </w:rPr>
      </w:pPr>
      <w:r w:rsidRPr="00D952C5">
        <w:rPr>
          <w:rFonts w:ascii="Arial" w:hAnsi="Arial" w:cs="Arial"/>
          <w:b w:val="0"/>
        </w:rPr>
        <w:t>A.</w:t>
      </w:r>
      <w:r w:rsidRPr="00D952C5">
        <w:rPr>
          <w:rFonts w:ascii="Arial" w:hAnsi="Arial" w:cs="Arial"/>
          <w:b w:val="0"/>
        </w:rPr>
        <w:tab/>
        <w:t xml:space="preserve">Yes.  </w:t>
      </w:r>
      <w:r w:rsidRPr="00D952C5" w:rsidR="009C0422">
        <w:rPr>
          <w:rFonts w:ascii="Arial" w:hAnsi="Arial" w:cs="Arial"/>
          <w:b w:val="0"/>
        </w:rPr>
        <w:t xml:space="preserve">Plant </w:t>
      </w:r>
      <w:r w:rsidRPr="00D952C5">
        <w:rPr>
          <w:rFonts w:ascii="Arial" w:hAnsi="Arial" w:cs="Arial"/>
          <w:b w:val="0"/>
        </w:rPr>
        <w:t>costs reflected in FERC USOA numbers 303 (</w:t>
      </w:r>
      <w:r w:rsidRPr="00D952C5">
        <w:rPr>
          <w:rFonts w:ascii="Arial" w:hAnsi="Arial" w:cs="Arial"/>
          <w:b w:val="0"/>
          <w:i/>
        </w:rPr>
        <w:t>Miscellaneous intangible plant</w:t>
      </w:r>
      <w:r w:rsidRPr="00D952C5">
        <w:rPr>
          <w:rFonts w:ascii="Arial" w:hAnsi="Arial" w:cs="Arial"/>
          <w:b w:val="0"/>
        </w:rPr>
        <w:t>), 391 (</w:t>
      </w:r>
      <w:r w:rsidRPr="00D952C5">
        <w:rPr>
          <w:rFonts w:ascii="Arial" w:hAnsi="Arial" w:cs="Arial"/>
          <w:b w:val="0"/>
          <w:i/>
        </w:rPr>
        <w:t>Office furniture and equipment</w:t>
      </w:r>
      <w:r w:rsidRPr="00D952C5">
        <w:rPr>
          <w:rFonts w:ascii="Arial" w:hAnsi="Arial" w:cs="Arial"/>
          <w:b w:val="0"/>
        </w:rPr>
        <w:t>), and 397 (</w:t>
      </w:r>
      <w:r w:rsidRPr="00D952C5">
        <w:rPr>
          <w:rFonts w:ascii="Arial" w:hAnsi="Arial" w:cs="Arial"/>
          <w:b w:val="0"/>
          <w:i/>
        </w:rPr>
        <w:t>Communication equipment</w:t>
      </w:r>
      <w:r w:rsidRPr="00D952C5">
        <w:rPr>
          <w:rFonts w:ascii="Arial" w:hAnsi="Arial" w:cs="Arial"/>
          <w:b w:val="0"/>
        </w:rPr>
        <w:t xml:space="preserve">) are includable in </w:t>
      </w:r>
      <w:r w:rsidRPr="00D952C5" w:rsidR="009C0422">
        <w:rPr>
          <w:rFonts w:ascii="Arial" w:hAnsi="Arial" w:cs="Arial"/>
          <w:b w:val="0"/>
        </w:rPr>
        <w:t>“D</w:t>
      </w:r>
      <w:r w:rsidRPr="00D952C5">
        <w:rPr>
          <w:rFonts w:ascii="Arial" w:hAnsi="Arial" w:cs="Arial"/>
          <w:b w:val="0"/>
        </w:rPr>
        <w:t>istribution invested capital</w:t>
      </w:r>
      <w:r w:rsidRPr="00D952C5" w:rsidR="009C0422">
        <w:rPr>
          <w:rFonts w:ascii="Arial" w:hAnsi="Arial" w:cs="Arial"/>
          <w:b w:val="0"/>
        </w:rPr>
        <w:t>,” as defined in 16 TAC § 25.243(b)(3)</w:t>
      </w:r>
      <w:r w:rsidRPr="00D952C5">
        <w:rPr>
          <w:rFonts w:ascii="Arial" w:hAnsi="Arial" w:cs="Arial"/>
          <w:b w:val="0"/>
        </w:rPr>
        <w:t xml:space="preserve">.  </w:t>
      </w:r>
      <w:r w:rsidRPr="00D952C5" w:rsidR="009C0422">
        <w:rPr>
          <w:rFonts w:ascii="Arial" w:hAnsi="Arial" w:cs="Arial"/>
          <w:b w:val="0"/>
        </w:rPr>
        <w:t>T</w:t>
      </w:r>
      <w:r w:rsidRPr="00D952C5">
        <w:rPr>
          <w:rFonts w:ascii="Arial" w:hAnsi="Arial" w:cs="Arial"/>
          <w:b w:val="0"/>
        </w:rPr>
        <w:t xml:space="preserve">he FERC USOA does not </w:t>
      </w:r>
      <w:r w:rsidRPr="00D952C5" w:rsidR="009C0422">
        <w:rPr>
          <w:rFonts w:ascii="Arial" w:hAnsi="Arial" w:cs="Arial"/>
          <w:b w:val="0"/>
        </w:rPr>
        <w:t xml:space="preserve">directly </w:t>
      </w:r>
      <w:r w:rsidRPr="00D952C5">
        <w:rPr>
          <w:rFonts w:ascii="Arial" w:hAnsi="Arial" w:cs="Arial"/>
          <w:b w:val="0"/>
        </w:rPr>
        <w:t>identify these accounts as distribution</w:t>
      </w:r>
      <w:r w:rsidRPr="00D952C5" w:rsidR="009C0422">
        <w:rPr>
          <w:rFonts w:ascii="Arial" w:hAnsi="Arial" w:cs="Arial"/>
          <w:b w:val="0"/>
        </w:rPr>
        <w:t>-related</w:t>
      </w:r>
      <w:r w:rsidRPr="00D952C5">
        <w:rPr>
          <w:rFonts w:ascii="Arial" w:hAnsi="Arial" w:cs="Arial"/>
          <w:b w:val="0"/>
        </w:rPr>
        <w:t xml:space="preserve"> plant, </w:t>
      </w:r>
      <w:r w:rsidRPr="00D952C5" w:rsidR="009C0422">
        <w:rPr>
          <w:rFonts w:ascii="Arial" w:hAnsi="Arial" w:cs="Arial"/>
          <w:b w:val="0"/>
        </w:rPr>
        <w:t xml:space="preserve">but both the enabling </w:t>
      </w:r>
      <w:r w:rsidRPr="00D952C5" w:rsidR="009C0422">
        <w:rPr>
          <w:rFonts w:ascii="Arial" w:hAnsi="Arial" w:cs="Arial"/>
          <w:b w:val="0"/>
        </w:rPr>
        <w:t>legislation in PURA § 36.210 and the Commission’s Substantive Rules</w:t>
      </w:r>
      <w:r w:rsidRPr="00D952C5" w:rsidR="00D952C5">
        <w:rPr>
          <w:rFonts w:ascii="Arial" w:hAnsi="Arial" w:cs="Arial"/>
          <w:b w:val="0"/>
        </w:rPr>
        <w:t xml:space="preserve"> indicate that such </w:t>
      </w:r>
      <w:r w:rsidRPr="00D952C5">
        <w:rPr>
          <w:rFonts w:ascii="Arial" w:hAnsi="Arial" w:cs="Arial"/>
          <w:b w:val="0"/>
        </w:rPr>
        <w:t>intangible and general plant</w:t>
      </w:r>
      <w:r w:rsidRPr="00D952C5" w:rsidR="00D952C5">
        <w:rPr>
          <w:rFonts w:ascii="Arial" w:hAnsi="Arial" w:cs="Arial"/>
          <w:b w:val="0"/>
        </w:rPr>
        <w:t xml:space="preserve"> support distribution operations (</w:t>
      </w:r>
      <w:r w:rsidRPr="00D952C5" w:rsidR="00D952C5">
        <w:rPr>
          <w:rFonts w:ascii="Arial" w:hAnsi="Arial" w:cs="Arial"/>
          <w:b w:val="0"/>
          <w:i/>
          <w:iCs/>
        </w:rPr>
        <w:t>e.g.</w:t>
      </w:r>
      <w:r w:rsidRPr="00D952C5" w:rsidR="00D952C5">
        <w:rPr>
          <w:rFonts w:ascii="Arial" w:hAnsi="Arial" w:cs="Arial"/>
          <w:b w:val="0"/>
        </w:rPr>
        <w:t xml:space="preserve">, </w:t>
      </w:r>
      <w:r w:rsidRPr="00D952C5">
        <w:rPr>
          <w:rFonts w:ascii="Arial" w:hAnsi="Arial" w:cs="Arial"/>
          <w:b w:val="0"/>
        </w:rPr>
        <w:t xml:space="preserve">technology and communication investment reflected in Oncor’s financial records </w:t>
      </w:r>
      <w:r w:rsidRPr="00D952C5" w:rsidR="00D952C5">
        <w:rPr>
          <w:rFonts w:ascii="Arial" w:hAnsi="Arial" w:cs="Arial"/>
          <w:b w:val="0"/>
        </w:rPr>
        <w:t xml:space="preserve">that </w:t>
      </w:r>
      <w:r w:rsidR="007D0DC0">
        <w:rPr>
          <w:rFonts w:ascii="Arial" w:hAnsi="Arial" w:cs="Arial"/>
          <w:b w:val="0"/>
        </w:rPr>
        <w:t>enable</w:t>
      </w:r>
      <w:r w:rsidRPr="00D952C5" w:rsidR="00D952C5">
        <w:rPr>
          <w:rFonts w:ascii="Arial" w:hAnsi="Arial" w:cs="Arial"/>
          <w:b w:val="0"/>
        </w:rPr>
        <w:t xml:space="preserve"> retail customer care and billing</w:t>
      </w:r>
      <w:r w:rsidR="007D0DC0">
        <w:rPr>
          <w:rFonts w:ascii="Arial" w:hAnsi="Arial" w:cs="Arial"/>
          <w:b w:val="0"/>
        </w:rPr>
        <w:t xml:space="preserve"> </w:t>
      </w:r>
      <w:r w:rsidR="000F660C">
        <w:rPr>
          <w:rFonts w:ascii="Arial" w:hAnsi="Arial" w:cs="Arial"/>
          <w:b w:val="0"/>
        </w:rPr>
        <w:t>or increased employee/contractor efficiencies in performing distribution-related job responsibilities</w:t>
      </w:r>
      <w:r w:rsidRPr="00D952C5" w:rsidR="00D952C5">
        <w:rPr>
          <w:rFonts w:ascii="Arial" w:hAnsi="Arial" w:cs="Arial"/>
          <w:b w:val="0"/>
        </w:rPr>
        <w:t>)</w:t>
      </w:r>
      <w:r w:rsidRPr="00D952C5">
        <w:rPr>
          <w:rFonts w:ascii="Arial" w:hAnsi="Arial" w:cs="Arial"/>
          <w:b w:val="0"/>
        </w:rPr>
        <w:t xml:space="preserve">.  The amounts reflected in these accounts have been functionalized between the transmission and distribution functions using the same cost assignment and allocation methodologies employed in Oncor’s most recent base-rate case (Docket No. </w:t>
      </w:r>
      <w:r w:rsidRPr="00D952C5" w:rsidR="00D952C5">
        <w:rPr>
          <w:rFonts w:ascii="Arial" w:hAnsi="Arial" w:cs="Arial"/>
          <w:b w:val="0"/>
        </w:rPr>
        <w:t>53601</w:t>
      </w:r>
      <w:r w:rsidRPr="00D952C5">
        <w:rPr>
          <w:rFonts w:ascii="Arial" w:hAnsi="Arial" w:cs="Arial"/>
          <w:b w:val="0"/>
        </w:rPr>
        <w:t>) in order to ensure that this DCRF update application reflects only the distribution-related component of these critical costs.</w:t>
      </w:r>
    </w:p>
    <w:p w:rsidR="00C612FA" w:rsidRPr="00D952C5" w:rsidP="00C612FA" w14:paraId="2569865A" w14:textId="77777777">
      <w:pPr>
        <w:pStyle w:val="NormalBold"/>
        <w:tabs>
          <w:tab w:val="left" w:pos="720"/>
        </w:tabs>
        <w:spacing w:line="360" w:lineRule="auto"/>
        <w:ind w:left="720" w:hanging="720"/>
        <w:jc w:val="both"/>
        <w:rPr>
          <w:rFonts w:ascii="Arial" w:hAnsi="Arial" w:cs="Arial"/>
          <w:b w:val="0"/>
          <w:color w:val="auto"/>
          <w:shd w:val="clear" w:color="auto" w:fill="auto"/>
        </w:rPr>
      </w:pPr>
      <w:r w:rsidRPr="00D952C5">
        <w:rPr>
          <w:rFonts w:ascii="Arial" w:hAnsi="Arial" w:cs="Arial"/>
          <w:b w:val="0"/>
        </w:rPr>
        <w:t>Q.</w:t>
      </w:r>
      <w:r w:rsidRPr="00D952C5">
        <w:rPr>
          <w:rFonts w:ascii="Arial" w:hAnsi="Arial" w:cs="Arial"/>
          <w:b w:val="0"/>
        </w:rPr>
        <w:tab/>
        <w:t>HOW HAS THE COMPANY ASSIGNED THE NET CHANGE IN GENERAL PLANT ASSETS REFLECTED IN FERC USOA NUMBER 391 TO THE DISTRIBUTION FUNCTION?</w:t>
      </w:r>
    </w:p>
    <w:p w:rsidR="00C612FA" w:rsidRPr="00672C4D" w:rsidP="00C612FA" w14:paraId="5C53FD7D" w14:textId="3D0B27E6">
      <w:pPr>
        <w:pStyle w:val="NormalBold"/>
        <w:tabs>
          <w:tab w:val="left" w:pos="720"/>
        </w:tabs>
        <w:spacing w:line="360" w:lineRule="auto"/>
        <w:ind w:left="720" w:hanging="720"/>
        <w:jc w:val="both"/>
        <w:rPr>
          <w:rFonts w:ascii="Arial" w:hAnsi="Arial" w:cs="Arial"/>
          <w:b w:val="0"/>
          <w:color w:val="auto"/>
          <w:shd w:val="clear" w:color="auto" w:fill="auto"/>
        </w:rPr>
      </w:pPr>
      <w:r w:rsidRPr="00672C4D">
        <w:rPr>
          <w:rFonts w:ascii="Arial" w:hAnsi="Arial" w:cs="Arial"/>
          <w:b w:val="0"/>
        </w:rPr>
        <w:t>A.</w:t>
      </w:r>
      <w:r w:rsidRPr="00672C4D">
        <w:rPr>
          <w:rFonts w:ascii="Arial" w:hAnsi="Arial" w:cs="Arial"/>
          <w:b w:val="0"/>
        </w:rPr>
        <w:tab/>
        <w:t xml:space="preserve">The net increase in plant account investment refers to the costs of new investment added during a period less any amount of investment that was retired from service during that same period.  For purposes of this DCRF update application, computer equipment that is recorded in FERC USOA </w:t>
      </w:r>
      <w:r w:rsidR="00852608">
        <w:rPr>
          <w:rFonts w:ascii="Arial" w:hAnsi="Arial" w:cs="Arial"/>
          <w:b w:val="0"/>
        </w:rPr>
        <w:t>n</w:t>
      </w:r>
      <w:r w:rsidRPr="00672C4D">
        <w:rPr>
          <w:rFonts w:ascii="Arial" w:hAnsi="Arial" w:cs="Arial"/>
          <w:b w:val="0"/>
        </w:rPr>
        <w:t>o. 391, such as investments in data processing and storage equipment, has been allocated between the distribution and transmission functions based on the related functionalization of computer business software investment to which the hardware is dedicated.  My Exhibit WAL-</w:t>
      </w:r>
      <w:r w:rsidR="00862CF4">
        <w:rPr>
          <w:rFonts w:ascii="Arial" w:hAnsi="Arial" w:cs="Arial"/>
          <w:b w:val="0"/>
        </w:rPr>
        <w:t>3</w:t>
      </w:r>
      <w:r w:rsidRPr="00672C4D">
        <w:rPr>
          <w:rFonts w:ascii="Arial" w:hAnsi="Arial" w:cs="Arial"/>
          <w:b w:val="0"/>
        </w:rPr>
        <w:t xml:space="preserve"> reflects the </w:t>
      </w:r>
      <w:r w:rsidR="00862CF4">
        <w:rPr>
          <w:rFonts w:ascii="Arial" w:hAnsi="Arial" w:cs="Arial"/>
          <w:b w:val="0"/>
        </w:rPr>
        <w:t>computer equipment</w:t>
      </w:r>
      <w:r w:rsidRPr="00672C4D">
        <w:rPr>
          <w:rFonts w:ascii="Arial" w:hAnsi="Arial" w:cs="Arial"/>
          <w:b w:val="0"/>
        </w:rPr>
        <w:t xml:space="preserve"> investment allocation ratios from Docket No. </w:t>
      </w:r>
      <w:r w:rsidRPr="00672C4D" w:rsidR="00CC08B4">
        <w:rPr>
          <w:rFonts w:ascii="Arial" w:hAnsi="Arial" w:cs="Arial"/>
          <w:b w:val="0"/>
        </w:rPr>
        <w:t>53601</w:t>
      </w:r>
      <w:r w:rsidRPr="00672C4D">
        <w:rPr>
          <w:rFonts w:ascii="Arial" w:hAnsi="Arial" w:cs="Arial"/>
          <w:b w:val="0"/>
        </w:rPr>
        <w:t xml:space="preserve">.  For the equipment additions </w:t>
      </w:r>
      <w:r w:rsidRPr="00672C4D" w:rsidR="00CC08B4">
        <w:rPr>
          <w:rFonts w:ascii="Arial" w:hAnsi="Arial" w:cs="Arial"/>
          <w:b w:val="0"/>
        </w:rPr>
        <w:t>recorded</w:t>
      </w:r>
      <w:r w:rsidRPr="00672C4D">
        <w:rPr>
          <w:rFonts w:ascii="Arial" w:hAnsi="Arial" w:cs="Arial"/>
          <w:b w:val="0"/>
        </w:rPr>
        <w:t xml:space="preserve"> during </w:t>
      </w:r>
      <w:r w:rsidR="00585925">
        <w:rPr>
          <w:rFonts w:ascii="Arial" w:hAnsi="Arial" w:cs="Arial"/>
          <w:b w:val="0"/>
        </w:rPr>
        <w:t xml:space="preserve">the 18 </w:t>
      </w:r>
      <w:r w:rsidR="00CE5318">
        <w:rPr>
          <w:rFonts w:ascii="Arial" w:hAnsi="Arial" w:cs="Arial"/>
          <w:b w:val="0"/>
        </w:rPr>
        <w:t>m</w:t>
      </w:r>
      <w:r w:rsidR="00585925">
        <w:rPr>
          <w:rFonts w:ascii="Arial" w:hAnsi="Arial" w:cs="Arial"/>
          <w:b w:val="0"/>
        </w:rPr>
        <w:t xml:space="preserve">onths </w:t>
      </w:r>
      <w:r w:rsidR="00CE5318">
        <w:rPr>
          <w:rFonts w:ascii="Arial" w:hAnsi="Arial" w:cs="Arial"/>
          <w:b w:val="0"/>
        </w:rPr>
        <w:t>e</w:t>
      </w:r>
      <w:r w:rsidR="00585925">
        <w:rPr>
          <w:rFonts w:ascii="Arial" w:hAnsi="Arial" w:cs="Arial"/>
          <w:b w:val="0"/>
        </w:rPr>
        <w:t>nding June 30, 2023,</w:t>
      </w:r>
      <w:r w:rsidRPr="001A28D9">
        <w:rPr>
          <w:rFonts w:ascii="Arial" w:hAnsi="Arial" w:cs="Arial"/>
          <w:b w:val="0"/>
        </w:rPr>
        <w:t xml:space="preserve"> </w:t>
      </w:r>
      <w:r w:rsidRPr="001A28D9" w:rsidR="00381245">
        <w:rPr>
          <w:rFonts w:ascii="Arial" w:hAnsi="Arial" w:cs="Arial"/>
          <w:b w:val="0"/>
        </w:rPr>
        <w:t>23.19</w:t>
      </w:r>
      <w:r w:rsidRPr="001A28D9">
        <w:rPr>
          <w:rFonts w:ascii="Arial" w:hAnsi="Arial" w:cs="Arial"/>
          <w:b w:val="0"/>
        </w:rPr>
        <w:t xml:space="preserve">% were allocated to the transmission function and the remainder to distribution.  Similarly, for the equipment retirements recorded during </w:t>
      </w:r>
      <w:r w:rsidR="00585925">
        <w:rPr>
          <w:rFonts w:ascii="Arial" w:hAnsi="Arial" w:cs="Arial"/>
          <w:b w:val="0"/>
        </w:rPr>
        <w:t>the 18-month update period</w:t>
      </w:r>
      <w:r w:rsidRPr="001A28D9">
        <w:rPr>
          <w:rFonts w:ascii="Arial" w:hAnsi="Arial" w:cs="Arial"/>
          <w:b w:val="0"/>
        </w:rPr>
        <w:t xml:space="preserve">, </w:t>
      </w:r>
      <w:r w:rsidRPr="001A28D9" w:rsidR="00381245">
        <w:rPr>
          <w:rFonts w:ascii="Arial" w:hAnsi="Arial" w:cs="Arial"/>
          <w:b w:val="0"/>
        </w:rPr>
        <w:t>23.19</w:t>
      </w:r>
      <w:r w:rsidRPr="001A28D9">
        <w:rPr>
          <w:rFonts w:ascii="Arial" w:hAnsi="Arial" w:cs="Arial"/>
          <w:b w:val="0"/>
        </w:rPr>
        <w:t>% were</w:t>
      </w:r>
      <w:r w:rsidRPr="00672C4D">
        <w:rPr>
          <w:rFonts w:ascii="Arial" w:hAnsi="Arial" w:cs="Arial"/>
          <w:b w:val="0"/>
        </w:rPr>
        <w:t xml:space="preserve"> allocated to transmission and the remainder to distribution.  </w:t>
      </w:r>
      <w:r w:rsidRPr="00672C4D" w:rsidR="00672C4D">
        <w:rPr>
          <w:rFonts w:ascii="Arial" w:hAnsi="Arial" w:cs="Arial"/>
          <w:b w:val="0"/>
        </w:rPr>
        <w:t>In addition, m</w:t>
      </w:r>
      <w:r w:rsidRPr="00672C4D">
        <w:rPr>
          <w:rFonts w:ascii="Arial" w:hAnsi="Arial" w:cs="Arial"/>
          <w:b w:val="0"/>
        </w:rPr>
        <w:t>y Exhibit WAL-</w:t>
      </w:r>
      <w:r w:rsidR="00862CF4">
        <w:rPr>
          <w:rFonts w:ascii="Arial" w:hAnsi="Arial" w:cs="Arial"/>
          <w:b w:val="0"/>
        </w:rPr>
        <w:t>3</w:t>
      </w:r>
      <w:r w:rsidRPr="00672C4D">
        <w:rPr>
          <w:rFonts w:ascii="Arial" w:hAnsi="Arial" w:cs="Arial"/>
          <w:b w:val="0"/>
        </w:rPr>
        <w:t xml:space="preserve"> </w:t>
      </w:r>
      <w:r w:rsidRPr="00672C4D" w:rsidR="00672C4D">
        <w:rPr>
          <w:rFonts w:ascii="Arial" w:hAnsi="Arial" w:cs="Arial"/>
          <w:b w:val="0"/>
        </w:rPr>
        <w:t>depicts</w:t>
      </w:r>
      <w:r w:rsidRPr="00672C4D">
        <w:rPr>
          <w:rFonts w:ascii="Arial" w:hAnsi="Arial" w:cs="Arial"/>
          <w:b w:val="0"/>
        </w:rPr>
        <w:t xml:space="preserve"> that all of the net A</w:t>
      </w:r>
      <w:r w:rsidRPr="00672C4D" w:rsidR="00672C4D">
        <w:rPr>
          <w:rFonts w:ascii="Arial" w:hAnsi="Arial" w:cs="Arial"/>
          <w:b w:val="0"/>
        </w:rPr>
        <w:t xml:space="preserve">dvanced </w:t>
      </w:r>
      <w:r w:rsidRPr="00672C4D">
        <w:rPr>
          <w:rFonts w:ascii="Arial" w:hAnsi="Arial" w:cs="Arial"/>
          <w:b w:val="0"/>
        </w:rPr>
        <w:t>M</w:t>
      </w:r>
      <w:r w:rsidRPr="00672C4D" w:rsidR="00672C4D">
        <w:rPr>
          <w:rFonts w:ascii="Arial" w:hAnsi="Arial" w:cs="Arial"/>
          <w:b w:val="0"/>
        </w:rPr>
        <w:t xml:space="preserve">etering </w:t>
      </w:r>
      <w:r w:rsidRPr="00672C4D">
        <w:rPr>
          <w:rFonts w:ascii="Arial" w:hAnsi="Arial" w:cs="Arial"/>
          <w:b w:val="0"/>
        </w:rPr>
        <w:t>S</w:t>
      </w:r>
      <w:r w:rsidRPr="00672C4D" w:rsidR="00672C4D">
        <w:rPr>
          <w:rFonts w:ascii="Arial" w:hAnsi="Arial" w:cs="Arial"/>
          <w:b w:val="0"/>
        </w:rPr>
        <w:t>ystem computer-</w:t>
      </w:r>
      <w:r w:rsidRPr="00672C4D">
        <w:rPr>
          <w:rFonts w:ascii="Arial" w:hAnsi="Arial" w:cs="Arial"/>
          <w:b w:val="0"/>
        </w:rPr>
        <w:t>related investment continues to be allocated to the distribution function.</w:t>
      </w:r>
    </w:p>
    <w:p w:rsidR="00C612FA" w:rsidRPr="00862CF4" w:rsidP="00C612FA" w14:paraId="1D30999A" w14:textId="578B96DE">
      <w:pPr>
        <w:pStyle w:val="NormalBold"/>
        <w:tabs>
          <w:tab w:val="left" w:pos="720"/>
        </w:tabs>
        <w:spacing w:line="360" w:lineRule="auto"/>
        <w:ind w:left="720" w:hanging="720"/>
        <w:jc w:val="both"/>
        <w:rPr>
          <w:rFonts w:ascii="Arial" w:hAnsi="Arial" w:cs="Arial"/>
          <w:b w:val="0"/>
          <w:color w:val="auto"/>
          <w:shd w:val="clear" w:color="auto" w:fill="auto"/>
        </w:rPr>
      </w:pPr>
      <w:r w:rsidRPr="00862CF4">
        <w:rPr>
          <w:rFonts w:ascii="Arial" w:hAnsi="Arial" w:cs="Arial"/>
          <w:b w:val="0"/>
        </w:rPr>
        <w:t>Q.</w:t>
      </w:r>
      <w:r w:rsidRPr="00862CF4">
        <w:rPr>
          <w:rFonts w:ascii="Arial" w:hAnsi="Arial" w:cs="Arial"/>
          <w:b w:val="0"/>
        </w:rPr>
        <w:tab/>
        <w:t>HOW HAS THE COMPANY ASSIGNED THE GENERAL PLANT ASSETS REFLECTED IN FERC USOA N</w:t>
      </w:r>
      <w:r w:rsidR="00053E25">
        <w:rPr>
          <w:rFonts w:ascii="Arial" w:hAnsi="Arial" w:cs="Arial"/>
          <w:b w:val="0"/>
        </w:rPr>
        <w:t>O.</w:t>
      </w:r>
      <w:r w:rsidRPr="00862CF4">
        <w:rPr>
          <w:rFonts w:ascii="Arial" w:hAnsi="Arial" w:cs="Arial"/>
          <w:b w:val="0"/>
        </w:rPr>
        <w:t xml:space="preserve"> 303 TO THE DISTRIBUTION FUNCTION?</w:t>
      </w:r>
    </w:p>
    <w:p w:rsidR="00C612FA" w:rsidRPr="00862CF4" w:rsidP="00C612FA" w14:paraId="6C815FB7" w14:textId="2C66823B">
      <w:pPr>
        <w:pStyle w:val="NormalBold"/>
        <w:tabs>
          <w:tab w:val="left" w:pos="720"/>
        </w:tabs>
        <w:spacing w:line="360" w:lineRule="auto"/>
        <w:ind w:left="720" w:hanging="720"/>
        <w:jc w:val="both"/>
        <w:rPr>
          <w:rFonts w:ascii="Arial" w:hAnsi="Arial" w:cs="Arial"/>
          <w:b w:val="0"/>
          <w:color w:val="auto"/>
          <w:shd w:val="clear" w:color="auto" w:fill="auto"/>
        </w:rPr>
      </w:pPr>
      <w:r w:rsidRPr="00862CF4">
        <w:rPr>
          <w:rFonts w:ascii="Arial" w:hAnsi="Arial" w:cs="Arial"/>
          <w:b w:val="0"/>
        </w:rPr>
        <w:t>A.</w:t>
      </w:r>
      <w:r w:rsidRPr="00862CF4">
        <w:rPr>
          <w:rFonts w:ascii="Arial" w:hAnsi="Arial" w:cs="Arial"/>
          <w:b w:val="0"/>
        </w:rPr>
        <w:tab/>
        <w:t xml:space="preserve">Costs reflected in Oncor’s FERC USOA </w:t>
      </w:r>
      <w:r w:rsidR="001026B8">
        <w:rPr>
          <w:rFonts w:ascii="Arial" w:hAnsi="Arial" w:cs="Arial"/>
          <w:b w:val="0"/>
        </w:rPr>
        <w:t>n</w:t>
      </w:r>
      <w:r w:rsidRPr="00862CF4">
        <w:rPr>
          <w:rFonts w:ascii="Arial" w:hAnsi="Arial" w:cs="Arial"/>
          <w:b w:val="0"/>
        </w:rPr>
        <w:t xml:space="preserve">o. 303 (Miscellaneous intangible plant) have been directly assigned to either the transmission or distribution function to the extent possible based on the business system purpose of the investment and the Company’s use </w:t>
      </w:r>
      <w:r w:rsidRPr="001A28D9">
        <w:rPr>
          <w:rFonts w:ascii="Arial" w:hAnsi="Arial" w:cs="Arial"/>
          <w:b w:val="0"/>
        </w:rPr>
        <w:t>of the assets.  As shown on my Exhibit WAL-</w:t>
      </w:r>
      <w:r w:rsidRPr="001A28D9" w:rsidR="00862CF4">
        <w:rPr>
          <w:rFonts w:ascii="Arial" w:hAnsi="Arial" w:cs="Arial"/>
          <w:b w:val="0"/>
        </w:rPr>
        <w:t>4</w:t>
      </w:r>
      <w:r w:rsidRPr="001A28D9">
        <w:rPr>
          <w:rFonts w:ascii="Arial" w:hAnsi="Arial" w:cs="Arial"/>
          <w:b w:val="0"/>
        </w:rPr>
        <w:t xml:space="preserve">, </w:t>
      </w:r>
      <w:r w:rsidR="00446C6A">
        <w:rPr>
          <w:rFonts w:ascii="Arial" w:hAnsi="Arial" w:cs="Arial"/>
          <w:b w:val="0"/>
        </w:rPr>
        <w:t xml:space="preserve">during the 18-month update period, </w:t>
      </w:r>
      <w:r w:rsidRPr="001A28D9">
        <w:rPr>
          <w:rFonts w:ascii="Arial" w:hAnsi="Arial" w:cs="Arial"/>
          <w:b w:val="0"/>
        </w:rPr>
        <w:t xml:space="preserve">Oncor added </w:t>
      </w:r>
      <w:r w:rsidRPr="001A28D9" w:rsidR="00053E25">
        <w:rPr>
          <w:rFonts w:ascii="Arial" w:hAnsi="Arial" w:cs="Arial"/>
          <w:b w:val="0"/>
        </w:rPr>
        <w:t>approximate</w:t>
      </w:r>
      <w:r w:rsidR="00CE5318">
        <w:rPr>
          <w:rFonts w:ascii="Arial" w:hAnsi="Arial" w:cs="Arial"/>
          <w:b w:val="0"/>
        </w:rPr>
        <w:t>ly</w:t>
      </w:r>
      <w:r w:rsidRPr="001A28D9">
        <w:rPr>
          <w:rFonts w:ascii="Arial" w:hAnsi="Arial" w:cs="Arial"/>
          <w:b w:val="0"/>
        </w:rPr>
        <w:t xml:space="preserve"> $</w:t>
      </w:r>
      <w:r w:rsidR="00CE5318">
        <w:rPr>
          <w:rFonts w:ascii="Arial" w:hAnsi="Arial" w:cs="Arial"/>
          <w:b w:val="0"/>
        </w:rPr>
        <w:t>1</w:t>
      </w:r>
      <w:r w:rsidR="00B05B8E">
        <w:rPr>
          <w:rFonts w:ascii="Arial" w:hAnsi="Arial" w:cs="Arial"/>
          <w:b w:val="0"/>
        </w:rPr>
        <w:t>4</w:t>
      </w:r>
      <w:r w:rsidR="00CE5318">
        <w:rPr>
          <w:rFonts w:ascii="Arial" w:hAnsi="Arial" w:cs="Arial"/>
          <w:b w:val="0"/>
        </w:rPr>
        <w:t>4.9</w:t>
      </w:r>
      <w:r w:rsidRPr="001A28D9">
        <w:rPr>
          <w:rFonts w:ascii="Arial" w:hAnsi="Arial" w:cs="Arial"/>
          <w:b w:val="0"/>
        </w:rPr>
        <w:t xml:space="preserve"> million of new</w:t>
      </w:r>
      <w:r w:rsidR="00446C6A">
        <w:rPr>
          <w:rFonts w:ascii="Arial" w:hAnsi="Arial" w:cs="Arial"/>
          <w:b w:val="0"/>
        </w:rPr>
        <w:t xml:space="preserve"> (net of retirements)</w:t>
      </w:r>
      <w:r w:rsidRPr="001A28D9">
        <w:rPr>
          <w:rFonts w:ascii="Arial" w:hAnsi="Arial" w:cs="Arial"/>
          <w:b w:val="0"/>
        </w:rPr>
        <w:t xml:space="preserve"> investment in intangible plant</w:t>
      </w:r>
      <w:r w:rsidR="00446C6A">
        <w:rPr>
          <w:rFonts w:ascii="Arial" w:hAnsi="Arial" w:cs="Arial"/>
          <w:b w:val="0"/>
        </w:rPr>
        <w:t>.  O</w:t>
      </w:r>
      <w:r w:rsidRPr="001A28D9">
        <w:rPr>
          <w:rFonts w:ascii="Arial" w:hAnsi="Arial" w:cs="Arial"/>
          <w:b w:val="0"/>
        </w:rPr>
        <w:t>f</w:t>
      </w:r>
      <w:r w:rsidR="00446C6A">
        <w:rPr>
          <w:rFonts w:ascii="Arial" w:hAnsi="Arial" w:cs="Arial"/>
          <w:b w:val="0"/>
        </w:rPr>
        <w:t xml:space="preserve"> this net increase, </w:t>
      </w:r>
      <w:r w:rsidRPr="001A28D9">
        <w:rPr>
          <w:rFonts w:ascii="Arial" w:hAnsi="Arial" w:cs="Arial"/>
          <w:b w:val="0"/>
        </w:rPr>
        <w:t>$</w:t>
      </w:r>
      <w:r w:rsidR="00CE5318">
        <w:rPr>
          <w:rFonts w:ascii="Arial" w:hAnsi="Arial" w:cs="Arial"/>
          <w:b w:val="0"/>
        </w:rPr>
        <w:t>43.1</w:t>
      </w:r>
      <w:r w:rsidRPr="001A28D9">
        <w:rPr>
          <w:rFonts w:ascii="Arial" w:hAnsi="Arial" w:cs="Arial"/>
          <w:b w:val="0"/>
        </w:rPr>
        <w:t xml:space="preserve"> million (</w:t>
      </w:r>
      <w:r w:rsidR="00CE5318">
        <w:rPr>
          <w:rFonts w:ascii="Arial" w:hAnsi="Arial" w:cs="Arial"/>
          <w:b w:val="0"/>
        </w:rPr>
        <w:t>29.7</w:t>
      </w:r>
      <w:r w:rsidRPr="001A28D9">
        <w:rPr>
          <w:rFonts w:ascii="Arial" w:hAnsi="Arial" w:cs="Arial"/>
          <w:b w:val="0"/>
        </w:rPr>
        <w:t xml:space="preserve">%) was directly assigned or allocated to transmission and the remaining </w:t>
      </w:r>
      <w:r w:rsidR="00CE5318">
        <w:rPr>
          <w:rFonts w:ascii="Arial" w:hAnsi="Arial" w:cs="Arial"/>
          <w:b w:val="0"/>
        </w:rPr>
        <w:t>70.3</w:t>
      </w:r>
      <w:r w:rsidRPr="001A28D9">
        <w:rPr>
          <w:rFonts w:ascii="Arial" w:hAnsi="Arial" w:cs="Arial"/>
          <w:b w:val="0"/>
        </w:rPr>
        <w:t>% to</w:t>
      </w:r>
      <w:r w:rsidRPr="00862CF4">
        <w:rPr>
          <w:rFonts w:ascii="Arial" w:hAnsi="Arial" w:cs="Arial"/>
          <w:b w:val="0"/>
        </w:rPr>
        <w:t xml:space="preserve"> distribution</w:t>
      </w:r>
      <w:r w:rsidR="00585925">
        <w:rPr>
          <w:rFonts w:ascii="Arial" w:hAnsi="Arial" w:cs="Arial"/>
          <w:b w:val="0"/>
        </w:rPr>
        <w:t xml:space="preserve"> and distribution-related functions</w:t>
      </w:r>
      <w:r w:rsidRPr="00862CF4">
        <w:rPr>
          <w:rFonts w:ascii="Arial" w:hAnsi="Arial" w:cs="Arial"/>
          <w:b w:val="0"/>
        </w:rPr>
        <w:t xml:space="preserve">.  Similar to the costs recorded in FERC USOA </w:t>
      </w:r>
      <w:r w:rsidR="001026B8">
        <w:rPr>
          <w:rFonts w:ascii="Arial" w:hAnsi="Arial" w:cs="Arial"/>
          <w:b w:val="0"/>
        </w:rPr>
        <w:t>n</w:t>
      </w:r>
      <w:r w:rsidRPr="00862CF4">
        <w:rPr>
          <w:rFonts w:ascii="Arial" w:hAnsi="Arial" w:cs="Arial"/>
          <w:b w:val="0"/>
        </w:rPr>
        <w:t>o. 391, for those costs recorded as common intangible systems that are not readily assignable to a function, the amounts have been allocated based on the methodology employed in Oncor’s last base-rate case.</w:t>
      </w:r>
    </w:p>
    <w:p w:rsidR="00C612FA" w:rsidRPr="00862CF4" w:rsidP="00C612FA" w14:paraId="3A41E737" w14:textId="20C94726">
      <w:pPr>
        <w:pStyle w:val="NormalBold"/>
        <w:tabs>
          <w:tab w:val="left" w:pos="720"/>
        </w:tabs>
        <w:spacing w:line="360" w:lineRule="auto"/>
        <w:ind w:left="720" w:hanging="720"/>
        <w:jc w:val="both"/>
        <w:rPr>
          <w:rFonts w:ascii="Arial" w:hAnsi="Arial" w:cs="Arial"/>
          <w:b w:val="0"/>
          <w:color w:val="auto"/>
          <w:shd w:val="clear" w:color="auto" w:fill="auto"/>
        </w:rPr>
      </w:pPr>
      <w:r w:rsidRPr="00862CF4">
        <w:rPr>
          <w:rFonts w:ascii="Arial" w:hAnsi="Arial" w:cs="Arial"/>
          <w:b w:val="0"/>
        </w:rPr>
        <w:t>Q.</w:t>
      </w:r>
      <w:r w:rsidRPr="00862CF4">
        <w:rPr>
          <w:rFonts w:ascii="Arial" w:hAnsi="Arial" w:cs="Arial"/>
          <w:b w:val="0"/>
        </w:rPr>
        <w:tab/>
        <w:t>HOW HAS THE COMPANY ASSIGNED THE NET CHANGE IN GENERAL PLANT ASSETS REFLECTED IN FERC USOA N</w:t>
      </w:r>
      <w:r w:rsidR="00053E25">
        <w:rPr>
          <w:rFonts w:ascii="Arial" w:hAnsi="Arial" w:cs="Arial"/>
          <w:b w:val="0"/>
        </w:rPr>
        <w:t>O.</w:t>
      </w:r>
      <w:r w:rsidRPr="00862CF4">
        <w:rPr>
          <w:rFonts w:ascii="Arial" w:hAnsi="Arial" w:cs="Arial"/>
          <w:b w:val="0"/>
        </w:rPr>
        <w:t xml:space="preserve"> 397 TO THE DISTRIBUTION FUNCTION?</w:t>
      </w:r>
    </w:p>
    <w:p w:rsidR="00C612FA" w:rsidP="00C612FA" w14:paraId="0D500D03" w14:textId="3C743DFB">
      <w:pPr>
        <w:pStyle w:val="NormalBold"/>
        <w:tabs>
          <w:tab w:val="left" w:pos="720"/>
        </w:tabs>
        <w:spacing w:line="360" w:lineRule="auto"/>
        <w:ind w:left="720" w:hanging="720"/>
        <w:jc w:val="both"/>
        <w:rPr>
          <w:rFonts w:ascii="Arial" w:hAnsi="Arial" w:cs="Arial"/>
          <w:b w:val="0"/>
          <w:color w:val="auto"/>
          <w:shd w:val="clear" w:color="auto" w:fill="auto"/>
        </w:rPr>
      </w:pPr>
      <w:r w:rsidRPr="00862CF4">
        <w:rPr>
          <w:rFonts w:ascii="Arial" w:hAnsi="Arial" w:cs="Arial"/>
          <w:b w:val="0"/>
        </w:rPr>
        <w:t>A.</w:t>
      </w:r>
      <w:r w:rsidRPr="00862CF4">
        <w:rPr>
          <w:rFonts w:ascii="Arial" w:hAnsi="Arial" w:cs="Arial"/>
          <w:b w:val="0"/>
        </w:rPr>
        <w:tab/>
        <w:t xml:space="preserve">Communication equipment recorded in FERC USOA </w:t>
      </w:r>
      <w:r w:rsidR="001026B8">
        <w:rPr>
          <w:rFonts w:ascii="Arial" w:hAnsi="Arial" w:cs="Arial"/>
          <w:b w:val="0"/>
        </w:rPr>
        <w:t>n</w:t>
      </w:r>
      <w:r w:rsidRPr="00862CF4">
        <w:rPr>
          <w:rFonts w:ascii="Arial" w:hAnsi="Arial" w:cs="Arial"/>
          <w:b w:val="0"/>
        </w:rPr>
        <w:t>o. 397 includes the Company’s investment in its microwave system, fiber-optic networks, and system control and data acquisition or “SCADA” equipment.  As shown on my Exhibit WAL-</w:t>
      </w:r>
      <w:r w:rsidRPr="00862CF4" w:rsidR="00862CF4">
        <w:rPr>
          <w:rFonts w:ascii="Arial" w:hAnsi="Arial" w:cs="Arial"/>
          <w:b w:val="0"/>
        </w:rPr>
        <w:t>5</w:t>
      </w:r>
      <w:r w:rsidRPr="00862CF4">
        <w:rPr>
          <w:rFonts w:ascii="Arial" w:hAnsi="Arial" w:cs="Arial"/>
          <w:b w:val="0"/>
        </w:rPr>
        <w:t xml:space="preserve">, Oncor’s overall net book value of investment in </w:t>
      </w:r>
      <w:r w:rsidRPr="001A28D9">
        <w:rPr>
          <w:rFonts w:ascii="Arial" w:hAnsi="Arial" w:cs="Arial"/>
          <w:b w:val="0"/>
        </w:rPr>
        <w:t xml:space="preserve">communication equipment recorded in FERC USOA </w:t>
      </w:r>
      <w:r w:rsidRPr="001A28D9" w:rsidR="00F77F29">
        <w:rPr>
          <w:rFonts w:ascii="Arial" w:hAnsi="Arial" w:cs="Arial"/>
          <w:b w:val="0"/>
        </w:rPr>
        <w:t>n</w:t>
      </w:r>
      <w:r w:rsidRPr="001A28D9">
        <w:rPr>
          <w:rFonts w:ascii="Arial" w:hAnsi="Arial" w:cs="Arial"/>
          <w:b w:val="0"/>
        </w:rPr>
        <w:t xml:space="preserve">o. 397 increased </w:t>
      </w:r>
      <w:r w:rsidRPr="001A28D9" w:rsidR="00053E25">
        <w:rPr>
          <w:rFonts w:ascii="Arial" w:hAnsi="Arial" w:cs="Arial"/>
          <w:b w:val="0"/>
        </w:rPr>
        <w:t xml:space="preserve">by </w:t>
      </w:r>
      <w:r w:rsidRPr="001A28D9">
        <w:rPr>
          <w:rFonts w:ascii="Arial" w:hAnsi="Arial" w:cs="Arial"/>
          <w:b w:val="0"/>
        </w:rPr>
        <w:t>a</w:t>
      </w:r>
      <w:r w:rsidRPr="001A28D9" w:rsidR="00053E25">
        <w:rPr>
          <w:rFonts w:ascii="Arial" w:hAnsi="Arial" w:cs="Arial"/>
          <w:b w:val="0"/>
        </w:rPr>
        <w:t>pproximately</w:t>
      </w:r>
      <w:r w:rsidRPr="001A28D9">
        <w:rPr>
          <w:rFonts w:ascii="Arial" w:hAnsi="Arial" w:cs="Arial"/>
          <w:b w:val="0"/>
        </w:rPr>
        <w:t xml:space="preserve"> $</w:t>
      </w:r>
      <w:r w:rsidR="00CE5318">
        <w:rPr>
          <w:rFonts w:ascii="Arial" w:hAnsi="Arial" w:cs="Arial"/>
          <w:b w:val="0"/>
        </w:rPr>
        <w:t>1.7</w:t>
      </w:r>
      <w:r w:rsidRPr="001A28D9">
        <w:rPr>
          <w:rFonts w:ascii="Arial" w:hAnsi="Arial" w:cs="Arial"/>
          <w:b w:val="0"/>
        </w:rPr>
        <w:t xml:space="preserve"> millio</w:t>
      </w:r>
      <w:r w:rsidRPr="00862CF4">
        <w:rPr>
          <w:rFonts w:ascii="Arial" w:hAnsi="Arial" w:cs="Arial"/>
          <w:b w:val="0"/>
        </w:rPr>
        <w:t xml:space="preserve">n during </w:t>
      </w:r>
      <w:r w:rsidR="00585925">
        <w:rPr>
          <w:rFonts w:ascii="Arial" w:hAnsi="Arial" w:cs="Arial"/>
          <w:b w:val="0"/>
        </w:rPr>
        <w:t xml:space="preserve">the 18 </w:t>
      </w:r>
      <w:r w:rsidR="00CE5318">
        <w:rPr>
          <w:rFonts w:ascii="Arial" w:hAnsi="Arial" w:cs="Arial"/>
          <w:b w:val="0"/>
        </w:rPr>
        <w:t>m</w:t>
      </w:r>
      <w:r w:rsidR="00585925">
        <w:rPr>
          <w:rFonts w:ascii="Arial" w:hAnsi="Arial" w:cs="Arial"/>
          <w:b w:val="0"/>
        </w:rPr>
        <w:t xml:space="preserve">onths </w:t>
      </w:r>
      <w:r w:rsidR="00CE5318">
        <w:rPr>
          <w:rFonts w:ascii="Arial" w:hAnsi="Arial" w:cs="Arial"/>
          <w:b w:val="0"/>
        </w:rPr>
        <w:t>e</w:t>
      </w:r>
      <w:r w:rsidR="00585925">
        <w:rPr>
          <w:rFonts w:ascii="Arial" w:hAnsi="Arial" w:cs="Arial"/>
          <w:b w:val="0"/>
        </w:rPr>
        <w:t xml:space="preserve">nding June 30, </w:t>
      </w:r>
      <w:r w:rsidRPr="00862CF4">
        <w:rPr>
          <w:rFonts w:ascii="Arial" w:hAnsi="Arial" w:cs="Arial"/>
          <w:b w:val="0"/>
        </w:rPr>
        <w:t>202</w:t>
      </w:r>
      <w:r w:rsidR="00585925">
        <w:rPr>
          <w:rFonts w:ascii="Arial" w:hAnsi="Arial" w:cs="Arial"/>
          <w:b w:val="0"/>
        </w:rPr>
        <w:t>3</w:t>
      </w:r>
      <w:r w:rsidR="00F77F29">
        <w:rPr>
          <w:rFonts w:ascii="Arial" w:hAnsi="Arial" w:cs="Arial"/>
          <w:b w:val="0"/>
        </w:rPr>
        <w:t>.  However,</w:t>
      </w:r>
      <w:r w:rsidRPr="00862CF4">
        <w:rPr>
          <w:rFonts w:ascii="Arial" w:hAnsi="Arial" w:cs="Arial"/>
          <w:b w:val="0"/>
        </w:rPr>
        <w:t xml:space="preserve"> </w:t>
      </w:r>
      <w:r w:rsidR="00F77F29">
        <w:rPr>
          <w:rFonts w:ascii="Arial" w:hAnsi="Arial" w:cs="Arial"/>
          <w:b w:val="0"/>
        </w:rPr>
        <w:t xml:space="preserve">the </w:t>
      </w:r>
      <w:r w:rsidRPr="00862CF4">
        <w:rPr>
          <w:rFonts w:ascii="Arial" w:hAnsi="Arial" w:cs="Arial"/>
          <w:b w:val="0"/>
        </w:rPr>
        <w:t>distribution-related communication equipment</w:t>
      </w:r>
      <w:r w:rsidR="00F77F29">
        <w:rPr>
          <w:rFonts w:ascii="Arial" w:hAnsi="Arial" w:cs="Arial"/>
          <w:b w:val="0"/>
        </w:rPr>
        <w:t xml:space="preserve"> </w:t>
      </w:r>
      <w:r w:rsidR="00891FDC">
        <w:rPr>
          <w:rFonts w:ascii="Arial" w:hAnsi="Arial" w:cs="Arial"/>
          <w:b w:val="0"/>
        </w:rPr>
        <w:t xml:space="preserve">component </w:t>
      </w:r>
      <w:r w:rsidR="00F77F29">
        <w:rPr>
          <w:rFonts w:ascii="Arial" w:hAnsi="Arial" w:cs="Arial"/>
          <w:b w:val="0"/>
        </w:rPr>
        <w:t xml:space="preserve">reflected in </w:t>
      </w:r>
      <w:r w:rsidR="00891FDC">
        <w:rPr>
          <w:rFonts w:ascii="Arial" w:hAnsi="Arial" w:cs="Arial"/>
          <w:b w:val="0"/>
        </w:rPr>
        <w:t xml:space="preserve">my Exhibit WAL-5 decreased </w:t>
      </w:r>
      <w:r w:rsidRPr="001A28D9" w:rsidR="00891FDC">
        <w:rPr>
          <w:rFonts w:ascii="Arial" w:hAnsi="Arial" w:cs="Arial"/>
          <w:b w:val="0"/>
        </w:rPr>
        <w:t>by $</w:t>
      </w:r>
      <w:r w:rsidR="00CE5318">
        <w:rPr>
          <w:rFonts w:ascii="Arial" w:hAnsi="Arial" w:cs="Arial"/>
          <w:b w:val="0"/>
        </w:rPr>
        <w:t>2.1</w:t>
      </w:r>
      <w:r w:rsidRPr="001A28D9" w:rsidR="00891FDC">
        <w:rPr>
          <w:rFonts w:ascii="Arial" w:hAnsi="Arial" w:cs="Arial"/>
          <w:b w:val="0"/>
        </w:rPr>
        <w:t xml:space="preserve"> million</w:t>
      </w:r>
      <w:r w:rsidRPr="00862CF4">
        <w:rPr>
          <w:rFonts w:ascii="Arial" w:hAnsi="Arial" w:cs="Arial"/>
          <w:b w:val="0"/>
        </w:rPr>
        <w:t>.</w:t>
      </w:r>
      <w:r>
        <w:rPr>
          <w:rStyle w:val="FootnoteReference"/>
          <w:rFonts w:ascii="Arial" w:hAnsi="Arial" w:cs="Arial"/>
          <w:b w:val="0"/>
        </w:rPr>
        <w:footnoteReference w:id="12"/>
      </w:r>
      <w:r w:rsidRPr="00862CF4">
        <w:rPr>
          <w:rFonts w:ascii="Arial" w:hAnsi="Arial" w:cs="Arial"/>
          <w:b w:val="0"/>
        </w:rPr>
        <w:t xml:space="preserve">  The investment in communication equipment assets has either been directly assigned or allocated to the transmission and distribution functions based on usage or </w:t>
      </w:r>
      <w:r w:rsidRPr="00862CF4">
        <w:rPr>
          <w:rFonts w:ascii="Arial" w:hAnsi="Arial" w:cs="Arial"/>
          <w:b w:val="0"/>
        </w:rPr>
        <w:t>location of the equipment, consistent with the methodology used in Oncor’s last base-rate case.</w:t>
      </w:r>
    </w:p>
    <w:p w:rsidR="00D80C86" w:rsidP="00C16787" w14:paraId="76BF238A" w14:textId="108210D8">
      <w:pPr>
        <w:pStyle w:val="NormalBold"/>
        <w:tabs>
          <w:tab w:val="left" w:pos="720"/>
        </w:tabs>
        <w:spacing w:line="360" w:lineRule="auto"/>
        <w:ind w:left="720" w:hanging="720"/>
        <w:jc w:val="both"/>
        <w:rPr>
          <w:rFonts w:cs="Arial"/>
          <w:color w:val="auto"/>
          <w:shd w:val="clear" w:color="auto" w:fill="auto"/>
        </w:rPr>
      </w:pPr>
      <w:r>
        <w:rPr>
          <w:rFonts w:ascii="Arial" w:hAnsi="Arial" w:cs="Arial"/>
          <w:b w:val="0"/>
        </w:rPr>
        <w:tab/>
      </w:r>
      <w:r>
        <w:rPr>
          <w:rFonts w:ascii="Arial" w:hAnsi="Arial" w:cs="Arial"/>
          <w:b w:val="0"/>
        </w:rPr>
        <w:tab/>
        <w:t>In addition, as I will discuss</w:t>
      </w:r>
      <w:r w:rsidR="00C16787">
        <w:rPr>
          <w:rFonts w:ascii="Arial" w:hAnsi="Arial" w:cs="Arial"/>
          <w:b w:val="0"/>
        </w:rPr>
        <w:t xml:space="preserve"> in Section </w:t>
      </w:r>
      <w:r w:rsidR="0024325D">
        <w:rPr>
          <w:rFonts w:ascii="Arial" w:hAnsi="Arial" w:cs="Arial"/>
          <w:b w:val="0"/>
        </w:rPr>
        <w:t>I</w:t>
      </w:r>
      <w:r w:rsidR="00C16787">
        <w:rPr>
          <w:rFonts w:ascii="Arial" w:hAnsi="Arial" w:cs="Arial"/>
          <w:b w:val="0"/>
        </w:rPr>
        <w:t>V.D. of my direct testimony</w:t>
      </w:r>
      <w:r>
        <w:rPr>
          <w:rFonts w:ascii="Arial" w:hAnsi="Arial" w:cs="Arial"/>
          <w:b w:val="0"/>
        </w:rPr>
        <w:t xml:space="preserve"> below, certain indirect construction overhead costs that were capitalized during the period 2017 through 2021 were disallowed in Oncor’s most recent base-rate proceeding in Docket No. 53601.  These disallowed costs </w:t>
      </w:r>
      <w:r w:rsidR="00C16787">
        <w:rPr>
          <w:rFonts w:ascii="Arial" w:hAnsi="Arial" w:cs="Arial"/>
          <w:b w:val="0"/>
        </w:rPr>
        <w:t xml:space="preserve">were not recorded until after the 2022 financial closing.  Accordingly, the effects of the disallowances have been assigned to the Company’s distribution function in a manner consistent with the number running activities that support the Docket No. 53601 </w:t>
      </w:r>
      <w:r w:rsidR="00934619">
        <w:rPr>
          <w:rFonts w:ascii="Arial" w:hAnsi="Arial" w:cs="Arial"/>
          <w:b w:val="0"/>
        </w:rPr>
        <w:t>O</w:t>
      </w:r>
      <w:r w:rsidR="00C16787">
        <w:rPr>
          <w:rFonts w:ascii="Arial" w:hAnsi="Arial" w:cs="Arial"/>
          <w:b w:val="0"/>
        </w:rPr>
        <w:t>rder</w:t>
      </w:r>
      <w:r w:rsidR="00CE5318">
        <w:rPr>
          <w:rFonts w:ascii="Arial" w:hAnsi="Arial" w:cs="Arial"/>
          <w:b w:val="0"/>
        </w:rPr>
        <w:t xml:space="preserve"> on Rehearing</w:t>
      </w:r>
      <w:r w:rsidR="00C16787">
        <w:rPr>
          <w:rFonts w:ascii="Arial" w:hAnsi="Arial" w:cs="Arial"/>
          <w:b w:val="0"/>
        </w:rPr>
        <w:t xml:space="preserve"> issued on </w:t>
      </w:r>
      <w:r w:rsidR="00CE5318">
        <w:rPr>
          <w:rFonts w:ascii="Arial" w:hAnsi="Arial" w:cs="Arial"/>
          <w:b w:val="0"/>
        </w:rPr>
        <w:t>June 30</w:t>
      </w:r>
      <w:r w:rsidR="00C16787">
        <w:rPr>
          <w:rFonts w:ascii="Arial" w:hAnsi="Arial" w:cs="Arial"/>
          <w:b w:val="0"/>
        </w:rPr>
        <w:t xml:space="preserve">, 2023 that applied the costs to FERC USOA </w:t>
      </w:r>
      <w:r w:rsidR="00891FDC">
        <w:rPr>
          <w:rFonts w:ascii="Arial" w:hAnsi="Arial" w:cs="Arial"/>
          <w:b w:val="0"/>
        </w:rPr>
        <w:t>n</w:t>
      </w:r>
      <w:r w:rsidR="00C16787">
        <w:rPr>
          <w:rFonts w:ascii="Arial" w:hAnsi="Arial" w:cs="Arial"/>
          <w:b w:val="0"/>
        </w:rPr>
        <w:t>o. 397.</w:t>
      </w:r>
      <w:r w:rsidR="0060655C">
        <w:rPr>
          <w:rFonts w:cs="Arial"/>
        </w:rPr>
        <w:tab/>
      </w:r>
    </w:p>
    <w:p w:rsidR="00D80C86" w:rsidRPr="00C16787" w:rsidP="00C16787" w14:paraId="1DC366FC" w14:textId="277C7BA6">
      <w:pPr>
        <w:pStyle w:val="Heading2"/>
        <w:numPr>
          <w:ilvl w:val="0"/>
          <w:numId w:val="0"/>
        </w:numPr>
        <w:ind w:left="1080"/>
        <w:jc w:val="center"/>
        <w:rPr>
          <w:b w:val="0"/>
          <w:bCs/>
          <w:color w:val="auto"/>
          <w:szCs w:val="24"/>
          <w:shd w:val="clear" w:color="auto" w:fill="auto"/>
        </w:rPr>
      </w:pPr>
      <w:bookmarkStart w:id="5" w:name="_Toc429577236"/>
      <w:r w:rsidRPr="00C16787">
        <w:rPr>
          <w:b w:val="0"/>
          <w:bCs/>
          <w:szCs w:val="24"/>
        </w:rPr>
        <w:t xml:space="preserve">D.  </w:t>
      </w:r>
      <w:r w:rsidRPr="00C16787" w:rsidR="00BC0EB1">
        <w:rPr>
          <w:b w:val="0"/>
          <w:bCs/>
          <w:szCs w:val="24"/>
          <w:u w:val="single"/>
        </w:rPr>
        <w:t xml:space="preserve">Docket No. </w:t>
      </w:r>
      <w:r w:rsidRPr="00C16787" w:rsidR="00B7062A">
        <w:rPr>
          <w:b w:val="0"/>
          <w:bCs/>
          <w:szCs w:val="24"/>
          <w:u w:val="single"/>
        </w:rPr>
        <w:t>53601 Adjustments</w:t>
      </w:r>
      <w:bookmarkEnd w:id="5"/>
    </w:p>
    <w:p w:rsidR="004C083B" w:rsidP="00C2157D" w14:paraId="37F6258C" w14:textId="15494E3E">
      <w:pPr>
        <w:pStyle w:val="BodyText"/>
        <w:rPr>
          <w:color w:val="auto"/>
          <w:shd w:val="clear" w:color="auto" w:fill="auto"/>
        </w:rPr>
      </w:pPr>
      <w:r>
        <w:t>Q.</w:t>
      </w:r>
      <w:r>
        <w:tab/>
      </w:r>
      <w:r w:rsidR="00F23438">
        <w:t xml:space="preserve">PLEASE DESCRIBE </w:t>
      </w:r>
      <w:r>
        <w:t xml:space="preserve">THE ADJUSTMENTS ARISING FROM THE COMMISSION’S </w:t>
      </w:r>
      <w:r w:rsidR="00CE5318">
        <w:t>JUNE 30</w:t>
      </w:r>
      <w:r>
        <w:t xml:space="preserve">, 2023 ORDER </w:t>
      </w:r>
      <w:r w:rsidR="00CE5318">
        <w:t xml:space="preserve">ON REHEARING </w:t>
      </w:r>
      <w:r>
        <w:t>IN ONCOR’S</w:t>
      </w:r>
      <w:r w:rsidR="00CE5318">
        <w:t xml:space="preserve"> MOST RECENT</w:t>
      </w:r>
      <w:r>
        <w:t xml:space="preserve"> BASE</w:t>
      </w:r>
      <w:r w:rsidR="00364450">
        <w:t>-</w:t>
      </w:r>
      <w:r>
        <w:t>RATE CASE</w:t>
      </w:r>
      <w:r w:rsidR="00CE5318">
        <w:t>,</w:t>
      </w:r>
      <w:r>
        <w:t xml:space="preserve"> DOCKET NO. 53601.</w:t>
      </w:r>
    </w:p>
    <w:p w:rsidR="00F470EE" w:rsidP="00C2157D" w14:paraId="7063AEEB" w14:textId="11501A1E">
      <w:pPr>
        <w:pStyle w:val="BodyText"/>
        <w:rPr>
          <w:color w:val="auto"/>
          <w:shd w:val="clear" w:color="auto" w:fill="auto"/>
        </w:rPr>
      </w:pPr>
      <w:r>
        <w:t>A.</w:t>
      </w:r>
      <w:r>
        <w:tab/>
        <w:t>On February 28, 202</w:t>
      </w:r>
      <w:r w:rsidR="00030A84">
        <w:t>3</w:t>
      </w:r>
      <w:r>
        <w:t xml:space="preserve">, Oncor filed its Form 10-K Annual Report Pursuant to Section 13 or 15(d) of the Securities Exchange Act of 1934 </w:t>
      </w:r>
      <w:r w:rsidR="000F660C">
        <w:t>f</w:t>
      </w:r>
      <w:r>
        <w:t>or the Year Ended December 31, 2022</w:t>
      </w:r>
      <w:r w:rsidR="000F7EE9">
        <w:t xml:space="preserve"> (“2022 Form 10-K”)</w:t>
      </w:r>
      <w:r>
        <w:t xml:space="preserve">.  </w:t>
      </w:r>
      <w:r w:rsidR="00DA7C09">
        <w:t>Consequently</w:t>
      </w:r>
      <w:r>
        <w:t>, certain finding</w:t>
      </w:r>
      <w:r w:rsidR="00DA7C09">
        <w:t>s and rulings</w:t>
      </w:r>
      <w:r>
        <w:t xml:space="preserve"> included in the Commission’s </w:t>
      </w:r>
      <w:r w:rsidR="00CE5318">
        <w:t>June 30</w:t>
      </w:r>
      <w:r>
        <w:t>, 2023 Order</w:t>
      </w:r>
      <w:r w:rsidR="00CE5318">
        <w:t xml:space="preserve"> on Rehearing</w:t>
      </w:r>
      <w:r>
        <w:t xml:space="preserve"> in Docket No. 53601 were not reflected in the Company’s</w:t>
      </w:r>
      <w:r w:rsidR="000F7EE9">
        <w:t xml:space="preserve"> </w:t>
      </w:r>
      <w:r w:rsidR="002256DD">
        <w:t xml:space="preserve">financial statements reflected in the 2022 Form 10-K.  </w:t>
      </w:r>
      <w:r w:rsidR="00DA7C09">
        <w:t xml:space="preserve">As a result, during Oncor’s reporting of its financial results for the quarter ended March 31, 2023, </w:t>
      </w:r>
      <w:r w:rsidR="009722F5">
        <w:t xml:space="preserve">the </w:t>
      </w:r>
      <w:r w:rsidR="00DA7C09">
        <w:t xml:space="preserve">Company disclosed that it was recognizing a charge against income for the </w:t>
      </w:r>
      <w:r w:rsidR="009722F5">
        <w:t>effects of</w:t>
      </w:r>
      <w:r w:rsidR="00DA7C09">
        <w:t xml:space="preserve"> a </w:t>
      </w:r>
      <w:r w:rsidR="009722F5">
        <w:t>disallowance</w:t>
      </w:r>
      <w:r w:rsidR="00DA7C09">
        <w:t xml:space="preserve"> of $65 million</w:t>
      </w:r>
      <w:r>
        <w:rPr>
          <w:rStyle w:val="FootnoteReference"/>
        </w:rPr>
        <w:footnoteReference w:id="13"/>
      </w:r>
      <w:r w:rsidR="00DA7C09">
        <w:t xml:space="preserve"> of certain employee benefit and compensation</w:t>
      </w:r>
      <w:r w:rsidR="006E1695">
        <w:t>-</w:t>
      </w:r>
      <w:r w:rsidR="00DA7C09">
        <w:t>related cost</w:t>
      </w:r>
      <w:r w:rsidR="009722F5">
        <w:t>s</w:t>
      </w:r>
      <w:r w:rsidR="00DA7C09">
        <w:t xml:space="preserve"> that had previously been capitalized primarily to </w:t>
      </w:r>
      <w:r w:rsidR="00DA7C09">
        <w:t>property, plant and equipment during the period of 2017 through 2021,</w:t>
      </w:r>
      <w:r>
        <w:rPr>
          <w:rStyle w:val="FootnoteReference"/>
        </w:rPr>
        <w:footnoteReference w:id="14"/>
      </w:r>
      <w:r w:rsidR="00DA7C09">
        <w:t xml:space="preserve"> as well as an additional $4 million charge against income due to certain similar employee be</w:t>
      </w:r>
      <w:r w:rsidR="00A24DDF">
        <w:t>ne</w:t>
      </w:r>
      <w:r w:rsidR="00DA7C09">
        <w:t>fit and compensation related costs that were capitalized during 2022.</w:t>
      </w:r>
    </w:p>
    <w:p w:rsidR="001C3757" w:rsidP="001C3757" w14:paraId="2E0CEACF" w14:textId="77777777">
      <w:pPr>
        <w:pStyle w:val="BodyText"/>
        <w:rPr>
          <w:color w:val="auto"/>
          <w:shd w:val="clear" w:color="auto" w:fill="auto"/>
        </w:rPr>
      </w:pPr>
      <w:r>
        <w:t>Q.</w:t>
      </w:r>
      <w:r>
        <w:tab/>
        <w:t>DOES THE ACCOUNTING RECOGNITION OF THE DISALLOWED EMPLOYEE BENEFIT AND COMPENSATION-RELATED COSTS NECESSITATE AN ADJUSTMENT TO THE DCRF-RFP SCHEDULES IN THIS APPLICATION?</w:t>
      </w:r>
    </w:p>
    <w:p w:rsidR="00C2157D" w:rsidP="001C3757" w14:paraId="4D066082" w14:textId="41A8D3D4">
      <w:pPr>
        <w:pStyle w:val="BodyText"/>
        <w:rPr>
          <w:color w:val="auto"/>
          <w:shd w:val="clear" w:color="auto" w:fill="auto"/>
        </w:rPr>
      </w:pPr>
      <w:r>
        <w:t>A.</w:t>
      </w:r>
      <w:r w:rsidR="009722F5">
        <w:tab/>
      </w:r>
      <w:r>
        <w:t xml:space="preserve">No.  Even though </w:t>
      </w:r>
      <w:r w:rsidR="003C43A2">
        <w:t>the 2022 financial records of Oncor were completed prior to the issuance of the Order</w:t>
      </w:r>
      <w:r w:rsidR="00883941">
        <w:t xml:space="preserve"> on Rehearing</w:t>
      </w:r>
      <w:r w:rsidR="003C43A2">
        <w:t xml:space="preserve"> in Docket No. 53601, the </w:t>
      </w:r>
      <w:r>
        <w:t>effects of the disallowed property, plant and equipment balances have already been reflected in the DCRF baseline.</w:t>
      </w:r>
    </w:p>
    <w:p w:rsidR="008D46D8" w:rsidRPr="00D80C86" w:rsidP="008D46D8" w14:paraId="1151E0AA" w14:textId="20FF97F4">
      <w:pPr>
        <w:pStyle w:val="BodyText"/>
        <w:ind w:firstLine="0"/>
        <w:jc w:val="center"/>
        <w:rPr>
          <w:b/>
          <w:color w:val="auto"/>
          <w:szCs w:val="24"/>
          <w:shd w:val="clear" w:color="auto" w:fill="auto"/>
        </w:rPr>
      </w:pPr>
      <w:r w:rsidRPr="00D80C86">
        <w:rPr>
          <w:rFonts w:cs="Arial"/>
          <w:b/>
          <w:szCs w:val="24"/>
        </w:rPr>
        <w:t xml:space="preserve">V.  </w:t>
      </w:r>
      <w:r>
        <w:rPr>
          <w:b/>
          <w:snapToGrid w:val="0"/>
          <w:szCs w:val="24"/>
          <w:u w:val="single"/>
        </w:rPr>
        <w:t xml:space="preserve">DEPRECIATION </w:t>
      </w:r>
      <w:r w:rsidRPr="00D80C86">
        <w:rPr>
          <w:b/>
          <w:snapToGrid w:val="0"/>
          <w:szCs w:val="24"/>
          <w:u w:val="single"/>
        </w:rPr>
        <w:t xml:space="preserve">AND </w:t>
      </w:r>
      <w:r>
        <w:rPr>
          <w:b/>
          <w:snapToGrid w:val="0"/>
          <w:szCs w:val="24"/>
          <w:u w:val="single"/>
        </w:rPr>
        <w:t>AMORTIZATION FACTORS</w:t>
      </w:r>
    </w:p>
    <w:p w:rsidR="008D46D8" w:rsidP="00D80C86" w14:paraId="78410490" w14:textId="36273002">
      <w:pPr>
        <w:pStyle w:val="BodyTxtInd315"/>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s>
        <w:ind w:hanging="720"/>
        <w:rPr>
          <w:rFonts w:cs="Arial"/>
          <w:color w:val="auto"/>
          <w:szCs w:val="24"/>
          <w:shd w:val="clear" w:color="auto" w:fill="auto"/>
        </w:rPr>
      </w:pPr>
      <w:r>
        <w:rPr>
          <w:rFonts w:cs="Arial"/>
          <w:szCs w:val="24"/>
        </w:rPr>
        <w:t>Q.</w:t>
      </w:r>
      <w:r>
        <w:rPr>
          <w:rFonts w:cs="Arial"/>
          <w:szCs w:val="24"/>
        </w:rPr>
        <w:tab/>
        <w:t>PLEASE DISCUSS THE DEPRECATION AND AMORTIZATION EXPENSE THAT ONCOR IS REQUESTING IN THIS DCRF UPDATE APPLICATION.</w:t>
      </w:r>
    </w:p>
    <w:p w:rsidR="008D46D8" w:rsidP="00D80C86" w14:paraId="18699837" w14:textId="413D485D">
      <w:pPr>
        <w:pStyle w:val="BodyTxtInd315"/>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s>
        <w:ind w:hanging="720"/>
        <w:rPr>
          <w:rFonts w:cs="Arial"/>
          <w:color w:val="auto"/>
          <w:szCs w:val="24"/>
          <w:shd w:val="clear" w:color="auto" w:fill="auto"/>
        </w:rPr>
      </w:pPr>
      <w:r>
        <w:rPr>
          <w:rFonts w:cs="Arial"/>
          <w:szCs w:val="24"/>
        </w:rPr>
        <w:t>A.</w:t>
      </w:r>
      <w:r>
        <w:rPr>
          <w:rFonts w:cs="Arial"/>
          <w:szCs w:val="24"/>
        </w:rPr>
        <w:tab/>
      </w:r>
      <w:r w:rsidR="009F4BB9">
        <w:rPr>
          <w:rFonts w:cs="Arial"/>
          <w:szCs w:val="24"/>
        </w:rPr>
        <w:t xml:space="preserve">In general, during 2022 </w:t>
      </w:r>
      <w:r w:rsidR="0089158B">
        <w:rPr>
          <w:rFonts w:cs="Arial"/>
          <w:szCs w:val="24"/>
        </w:rPr>
        <w:t xml:space="preserve">and </w:t>
      </w:r>
      <w:r w:rsidR="009F4BB9">
        <w:rPr>
          <w:rFonts w:cs="Arial"/>
          <w:szCs w:val="24"/>
        </w:rPr>
        <w:t xml:space="preserve">the first four months of 2023, Oncor’s depreciation and amortization </w:t>
      </w:r>
      <w:r w:rsidR="00342022">
        <w:rPr>
          <w:rFonts w:cs="Arial"/>
          <w:szCs w:val="24"/>
        </w:rPr>
        <w:t xml:space="preserve">(“D&amp;A”) </w:t>
      </w:r>
      <w:r w:rsidR="009F4BB9">
        <w:rPr>
          <w:rFonts w:cs="Arial"/>
          <w:szCs w:val="24"/>
        </w:rPr>
        <w:t>expense was determined by the rates established in the Company’s 2017 comprehensive base</w:t>
      </w:r>
      <w:r w:rsidR="00D00BE0">
        <w:rPr>
          <w:rFonts w:cs="Arial"/>
          <w:szCs w:val="24"/>
        </w:rPr>
        <w:t>-</w:t>
      </w:r>
      <w:r w:rsidR="009F4BB9">
        <w:rPr>
          <w:rFonts w:cs="Arial"/>
          <w:szCs w:val="24"/>
        </w:rPr>
        <w:t>rate proceeding in Docket No. 46957.</w:t>
      </w:r>
      <w:r>
        <w:rPr>
          <w:rStyle w:val="FootnoteReference"/>
          <w:rFonts w:cs="Arial"/>
          <w:szCs w:val="24"/>
        </w:rPr>
        <w:footnoteReference w:id="15"/>
      </w:r>
      <w:r w:rsidR="00342022">
        <w:rPr>
          <w:rFonts w:cs="Arial"/>
          <w:szCs w:val="24"/>
        </w:rPr>
        <w:t xml:space="preserve">  Consistent with the </w:t>
      </w:r>
      <w:r w:rsidR="00883941">
        <w:rPr>
          <w:rFonts w:cs="Arial"/>
          <w:szCs w:val="24"/>
        </w:rPr>
        <w:t>O</w:t>
      </w:r>
      <w:r w:rsidR="00342022">
        <w:rPr>
          <w:rFonts w:cs="Arial"/>
          <w:szCs w:val="24"/>
        </w:rPr>
        <w:t>rder</w:t>
      </w:r>
      <w:r w:rsidR="00883941">
        <w:rPr>
          <w:rFonts w:cs="Arial"/>
          <w:szCs w:val="24"/>
        </w:rPr>
        <w:t xml:space="preserve"> on Rehearing</w:t>
      </w:r>
      <w:r w:rsidR="00342022">
        <w:rPr>
          <w:rFonts w:cs="Arial"/>
          <w:szCs w:val="24"/>
        </w:rPr>
        <w:t xml:space="preserve"> in Docket No. 53601, the D&amp;A rates reflected in Schedule E-1 in this DCRF Update Application</w:t>
      </w:r>
      <w:r w:rsidR="00883941">
        <w:rPr>
          <w:rFonts w:cs="Arial"/>
          <w:szCs w:val="24"/>
        </w:rPr>
        <w:t xml:space="preserve"> represent</w:t>
      </w:r>
      <w:r w:rsidR="00342022">
        <w:rPr>
          <w:rFonts w:cs="Arial"/>
          <w:szCs w:val="24"/>
        </w:rPr>
        <w:t xml:space="preserve"> the D&amp;A rates </w:t>
      </w:r>
      <w:r w:rsidR="00883941">
        <w:rPr>
          <w:rFonts w:cs="Arial"/>
          <w:szCs w:val="24"/>
        </w:rPr>
        <w:t>current</w:t>
      </w:r>
      <w:r w:rsidR="00342022">
        <w:rPr>
          <w:rFonts w:cs="Arial"/>
          <w:szCs w:val="24"/>
        </w:rPr>
        <w:t xml:space="preserve">ly in effect for Oncor.  Accordingly, DCRF-RFP Schedule E-1 indicates that Oncor’s baseline distribution and distribution-related D&amp;A expense </w:t>
      </w:r>
      <w:r w:rsidRPr="001A28D9" w:rsidR="00342022">
        <w:rPr>
          <w:rFonts w:cs="Arial"/>
          <w:szCs w:val="24"/>
        </w:rPr>
        <w:t>approximates $</w:t>
      </w:r>
      <w:r w:rsidRPr="001A28D9" w:rsidR="00D0589B">
        <w:rPr>
          <w:rFonts w:cs="Arial"/>
          <w:szCs w:val="24"/>
        </w:rPr>
        <w:t xml:space="preserve">543.4 million annually.  Applying the D&amp;A rates from Docket No. 53601 to the </w:t>
      </w:r>
      <w:r w:rsidRPr="001A28D9" w:rsidR="00657D77">
        <w:rPr>
          <w:rFonts w:cs="Arial"/>
          <w:szCs w:val="24"/>
        </w:rPr>
        <w:t>n</w:t>
      </w:r>
      <w:r w:rsidRPr="001A28D9" w:rsidR="00D0589B">
        <w:rPr>
          <w:rFonts w:cs="Arial"/>
          <w:szCs w:val="24"/>
        </w:rPr>
        <w:t xml:space="preserve">et incremental distribution and distribution-related plant in service </w:t>
      </w:r>
      <w:r w:rsidRPr="001A28D9" w:rsidR="00657D77">
        <w:rPr>
          <w:rFonts w:cs="Arial"/>
          <w:szCs w:val="24"/>
        </w:rPr>
        <w:t xml:space="preserve">additions and </w:t>
      </w:r>
      <w:r w:rsidRPr="001A28D9" w:rsidR="00657D77">
        <w:rPr>
          <w:rFonts w:cs="Arial"/>
          <w:szCs w:val="24"/>
        </w:rPr>
        <w:t>retirements</w:t>
      </w:r>
      <w:r w:rsidR="0089158B">
        <w:rPr>
          <w:rFonts w:cs="Arial"/>
          <w:szCs w:val="24"/>
        </w:rPr>
        <w:t xml:space="preserve"> of $1,</w:t>
      </w:r>
      <w:r w:rsidR="00883941">
        <w:rPr>
          <w:rFonts w:cs="Arial"/>
          <w:szCs w:val="24"/>
        </w:rPr>
        <w:t>980.9</w:t>
      </w:r>
      <w:r w:rsidR="0089158B">
        <w:rPr>
          <w:rFonts w:cs="Arial"/>
          <w:szCs w:val="24"/>
        </w:rPr>
        <w:t xml:space="preserve"> million realized</w:t>
      </w:r>
      <w:r w:rsidRPr="001A28D9" w:rsidR="00657D77">
        <w:rPr>
          <w:rFonts w:cs="Arial"/>
          <w:szCs w:val="24"/>
        </w:rPr>
        <w:t xml:space="preserve"> during</w:t>
      </w:r>
      <w:r w:rsidR="0089158B">
        <w:rPr>
          <w:rFonts w:cs="Arial"/>
          <w:szCs w:val="24"/>
        </w:rPr>
        <w:t xml:space="preserve"> the 18-month period ending June 30, </w:t>
      </w:r>
      <w:r w:rsidRPr="001A28D9" w:rsidR="00657D77">
        <w:rPr>
          <w:rFonts w:cs="Arial"/>
          <w:szCs w:val="24"/>
        </w:rPr>
        <w:t>202</w:t>
      </w:r>
      <w:r w:rsidR="0089158B">
        <w:rPr>
          <w:rFonts w:cs="Arial"/>
          <w:szCs w:val="24"/>
        </w:rPr>
        <w:t>3</w:t>
      </w:r>
      <w:r w:rsidRPr="001A28D9" w:rsidR="00657D77">
        <w:rPr>
          <w:rFonts w:cs="Arial"/>
          <w:szCs w:val="24"/>
        </w:rPr>
        <w:t xml:space="preserve"> </w:t>
      </w:r>
      <w:r w:rsidRPr="001A28D9" w:rsidR="00D0589B">
        <w:rPr>
          <w:rFonts w:cs="Arial"/>
          <w:szCs w:val="24"/>
        </w:rPr>
        <w:t>results in increased D&amp;A expense of $</w:t>
      </w:r>
      <w:r w:rsidR="00883941">
        <w:rPr>
          <w:rFonts w:cs="Arial"/>
          <w:szCs w:val="24"/>
        </w:rPr>
        <w:t>69.5</w:t>
      </w:r>
      <w:r w:rsidRPr="001A28D9" w:rsidR="00D0589B">
        <w:rPr>
          <w:rFonts w:cs="Arial"/>
          <w:szCs w:val="24"/>
        </w:rPr>
        <w:t xml:space="preserve"> million</w:t>
      </w:r>
      <w:r w:rsidR="0089158B">
        <w:rPr>
          <w:rFonts w:cs="Arial"/>
          <w:szCs w:val="24"/>
        </w:rPr>
        <w:t xml:space="preserve"> to be included</w:t>
      </w:r>
      <w:r w:rsidRPr="001A28D9" w:rsidR="00D0589B">
        <w:rPr>
          <w:rFonts w:cs="Arial"/>
          <w:szCs w:val="24"/>
        </w:rPr>
        <w:t xml:space="preserve"> in </w:t>
      </w:r>
      <w:r w:rsidR="0089158B">
        <w:rPr>
          <w:rFonts w:cs="Arial"/>
          <w:szCs w:val="24"/>
        </w:rPr>
        <w:t xml:space="preserve">this </w:t>
      </w:r>
      <w:r w:rsidRPr="001A28D9" w:rsidR="00D0589B">
        <w:rPr>
          <w:rFonts w:cs="Arial"/>
          <w:szCs w:val="24"/>
        </w:rPr>
        <w:t>DCRF Update Application (see column</w:t>
      </w:r>
      <w:r w:rsidRPr="001A28D9" w:rsidR="00657D77">
        <w:rPr>
          <w:rFonts w:cs="Arial"/>
          <w:szCs w:val="24"/>
        </w:rPr>
        <w:t>s (4) and</w:t>
      </w:r>
      <w:r w:rsidRPr="001A28D9" w:rsidR="00D0589B">
        <w:rPr>
          <w:rFonts w:cs="Arial"/>
          <w:szCs w:val="24"/>
        </w:rPr>
        <w:t xml:space="preserve"> (6) of DCRF-RFP Schedule E-</w:t>
      </w:r>
      <w:r w:rsidR="00D0589B">
        <w:rPr>
          <w:rFonts w:cs="Arial"/>
          <w:szCs w:val="24"/>
        </w:rPr>
        <w:t>1).</w:t>
      </w:r>
    </w:p>
    <w:p w:rsidR="00CE5FBB" w:rsidRPr="001E7595" w:rsidP="00243F21" w14:paraId="56E0B4A1" w14:textId="6EC594F9">
      <w:pPr>
        <w:pStyle w:val="BodyText"/>
        <w:ind w:firstLine="0"/>
        <w:jc w:val="center"/>
        <w:rPr>
          <w:rFonts w:cs="Arial"/>
          <w:b/>
          <w:color w:val="auto"/>
          <w:szCs w:val="24"/>
          <w:shd w:val="clear" w:color="auto" w:fill="auto"/>
        </w:rPr>
      </w:pPr>
      <w:bookmarkStart w:id="6" w:name="_Toc429577240"/>
      <w:r w:rsidRPr="00D80C86">
        <w:rPr>
          <w:rFonts w:cs="Arial"/>
          <w:b/>
          <w:szCs w:val="24"/>
        </w:rPr>
        <w:t>V</w:t>
      </w:r>
      <w:r w:rsidR="00C2157D">
        <w:rPr>
          <w:rFonts w:cs="Arial"/>
          <w:b/>
          <w:szCs w:val="24"/>
        </w:rPr>
        <w:t>I</w:t>
      </w:r>
      <w:r w:rsidRPr="00D80C86">
        <w:rPr>
          <w:rFonts w:cs="Arial"/>
          <w:b/>
          <w:szCs w:val="24"/>
        </w:rPr>
        <w:t xml:space="preserve">.  </w:t>
      </w:r>
      <w:r w:rsidRPr="001E7595" w:rsidR="0060655C">
        <w:rPr>
          <w:rFonts w:cs="Arial"/>
          <w:b/>
          <w:szCs w:val="24"/>
          <w:u w:val="single"/>
        </w:rPr>
        <w:t>SUMMARY AND CONCLUSION</w:t>
      </w:r>
      <w:bookmarkEnd w:id="6"/>
    </w:p>
    <w:p w:rsidR="008D46D8" w:rsidP="001E7595" w14:paraId="1A864F0A" w14:textId="7E0F3880">
      <w:pPr>
        <w:pStyle w:val="BodyText"/>
        <w:rPr>
          <w:rFonts w:cs="Arial"/>
          <w:bCs/>
          <w:color w:val="auto"/>
          <w:szCs w:val="24"/>
          <w:shd w:val="clear" w:color="auto" w:fill="auto"/>
        </w:rPr>
      </w:pPr>
      <w:r w:rsidRPr="001E7595">
        <w:rPr>
          <w:rFonts w:cs="Arial"/>
          <w:bCs/>
          <w:szCs w:val="24"/>
        </w:rPr>
        <w:t>Q.</w:t>
      </w:r>
      <w:r w:rsidRPr="001E7595">
        <w:rPr>
          <w:rFonts w:cs="Arial"/>
          <w:bCs/>
          <w:szCs w:val="24"/>
        </w:rPr>
        <w:tab/>
        <w:t>PLEASE SUMMARIZE YOUR DIRECT TESTIMONY IN THIS 2023 DCRF UPDATE APPLICATION.</w:t>
      </w:r>
    </w:p>
    <w:p w:rsidR="008D46D8" w:rsidP="005B4B3A" w14:paraId="561CB0FF" w14:textId="6E4B5DD4">
      <w:pPr>
        <w:pStyle w:val="BodyText"/>
        <w:rPr>
          <w:rFonts w:cs="Arial"/>
          <w:color w:val="auto"/>
          <w:szCs w:val="24"/>
          <w:shd w:val="clear" w:color="auto" w:fill="auto"/>
        </w:rPr>
      </w:pPr>
      <w:r>
        <w:rPr>
          <w:rFonts w:cs="Arial"/>
          <w:bCs/>
          <w:szCs w:val="24"/>
        </w:rPr>
        <w:t>A.</w:t>
      </w:r>
      <w:r>
        <w:rPr>
          <w:rFonts w:cs="Arial"/>
          <w:bCs/>
          <w:szCs w:val="24"/>
        </w:rPr>
        <w:tab/>
        <w:t xml:space="preserve">This </w:t>
      </w:r>
      <w:r w:rsidR="00883941">
        <w:rPr>
          <w:rFonts w:cs="Arial"/>
          <w:bCs/>
          <w:szCs w:val="24"/>
        </w:rPr>
        <w:t>September</w:t>
      </w:r>
      <w:r w:rsidR="008D1DAD">
        <w:rPr>
          <w:rFonts w:cs="Arial"/>
          <w:bCs/>
          <w:szCs w:val="24"/>
        </w:rPr>
        <w:t xml:space="preserve"> </w:t>
      </w:r>
      <w:r>
        <w:rPr>
          <w:rFonts w:cs="Arial"/>
          <w:bCs/>
          <w:szCs w:val="24"/>
        </w:rPr>
        <w:t xml:space="preserve">2023 </w:t>
      </w:r>
      <w:r w:rsidR="00657D77">
        <w:rPr>
          <w:rFonts w:cs="Arial"/>
          <w:szCs w:val="24"/>
        </w:rPr>
        <w:t xml:space="preserve">DCRF Application represents Oncor’s </w:t>
      </w:r>
      <w:r w:rsidR="005B4B3A">
        <w:rPr>
          <w:rFonts w:cs="Arial"/>
          <w:szCs w:val="24"/>
        </w:rPr>
        <w:t>second</w:t>
      </w:r>
      <w:r>
        <w:rPr>
          <w:rFonts w:cs="Arial"/>
          <w:szCs w:val="24"/>
        </w:rPr>
        <w:t xml:space="preserve"> update to its distribution rates since the issuance of the Order</w:t>
      </w:r>
      <w:r w:rsidR="00883941">
        <w:rPr>
          <w:rFonts w:cs="Arial"/>
          <w:szCs w:val="24"/>
        </w:rPr>
        <w:t xml:space="preserve"> on Rehearing</w:t>
      </w:r>
      <w:r>
        <w:rPr>
          <w:rFonts w:cs="Arial"/>
          <w:szCs w:val="24"/>
        </w:rPr>
        <w:t xml:space="preserve"> in the Company’s comprehensive base rate case</w:t>
      </w:r>
      <w:r w:rsidR="00883941">
        <w:rPr>
          <w:rFonts w:cs="Arial"/>
          <w:szCs w:val="24"/>
        </w:rPr>
        <w:t>,</w:t>
      </w:r>
      <w:r>
        <w:rPr>
          <w:rFonts w:cs="Arial"/>
          <w:szCs w:val="24"/>
        </w:rPr>
        <w:t xml:space="preserve"> Docket No. 53601.  The update period reflects incremental investment and costs related to the net additions and retirements of distribution and distribution-related </w:t>
      </w:r>
      <w:r w:rsidR="001F5D61">
        <w:rPr>
          <w:rFonts w:cs="Arial"/>
          <w:szCs w:val="24"/>
        </w:rPr>
        <w:t xml:space="preserve">assets </w:t>
      </w:r>
      <w:r>
        <w:rPr>
          <w:rFonts w:cs="Arial"/>
          <w:szCs w:val="24"/>
        </w:rPr>
        <w:t>incurred during calendar year 2022</w:t>
      </w:r>
      <w:r w:rsidR="005B4B3A">
        <w:rPr>
          <w:rFonts w:cs="Arial"/>
          <w:szCs w:val="24"/>
        </w:rPr>
        <w:t xml:space="preserve"> and the first six months of 2023</w:t>
      </w:r>
      <w:r>
        <w:rPr>
          <w:rFonts w:cs="Arial"/>
          <w:szCs w:val="24"/>
        </w:rPr>
        <w:t xml:space="preserve">.  As summarized on </w:t>
      </w:r>
      <w:r w:rsidRPr="001A28D9">
        <w:rPr>
          <w:rFonts w:cs="Arial"/>
          <w:szCs w:val="24"/>
        </w:rPr>
        <w:t>DCRF-RFP Schedule A, Oncor’s updatable distribution revenue requirement increased $</w:t>
      </w:r>
      <w:r w:rsidR="00883941">
        <w:rPr>
          <w:rFonts w:cs="Arial"/>
          <w:szCs w:val="24"/>
        </w:rPr>
        <w:t>232.1</w:t>
      </w:r>
      <w:r w:rsidRPr="001A28D9">
        <w:rPr>
          <w:rFonts w:cs="Arial"/>
          <w:szCs w:val="24"/>
        </w:rPr>
        <w:t xml:space="preserve"> million.  After adjusting for customer usage and growth during </w:t>
      </w:r>
      <w:r w:rsidR="005B4B3A">
        <w:rPr>
          <w:rFonts w:cs="Arial"/>
          <w:szCs w:val="24"/>
        </w:rPr>
        <w:t>the 18-month period</w:t>
      </w:r>
      <w:r w:rsidRPr="001A28D9">
        <w:rPr>
          <w:rFonts w:cs="Arial"/>
          <w:szCs w:val="24"/>
        </w:rPr>
        <w:t xml:space="preserve">, </w:t>
      </w:r>
      <w:r w:rsidRPr="001A28D9" w:rsidR="00D00BE0">
        <w:rPr>
          <w:rFonts w:cs="Arial"/>
          <w:szCs w:val="24"/>
        </w:rPr>
        <w:t>this</w:t>
      </w:r>
      <w:r w:rsidRPr="001A28D9">
        <w:rPr>
          <w:rFonts w:cs="Arial"/>
          <w:szCs w:val="24"/>
        </w:rPr>
        <w:t xml:space="preserve"> Application supports </w:t>
      </w:r>
      <w:r w:rsidR="005B4B3A">
        <w:rPr>
          <w:rFonts w:cs="Arial"/>
          <w:szCs w:val="24"/>
        </w:rPr>
        <w:t>an</w:t>
      </w:r>
      <w:r w:rsidRPr="001A28D9">
        <w:rPr>
          <w:rFonts w:cs="Arial"/>
          <w:szCs w:val="24"/>
        </w:rPr>
        <w:t xml:space="preserve"> increase</w:t>
      </w:r>
      <w:r w:rsidRPr="001A28D9" w:rsidR="003D2446">
        <w:rPr>
          <w:rFonts w:cs="Arial"/>
          <w:szCs w:val="24"/>
        </w:rPr>
        <w:t xml:space="preserve"> in DCRF rates of $</w:t>
      </w:r>
      <w:r w:rsidR="00883941">
        <w:rPr>
          <w:rFonts w:cs="Arial"/>
          <w:szCs w:val="24"/>
        </w:rPr>
        <w:t>209.0</w:t>
      </w:r>
      <w:r w:rsidRPr="001A28D9" w:rsidR="003D2446">
        <w:rPr>
          <w:rFonts w:cs="Arial"/>
          <w:szCs w:val="24"/>
        </w:rPr>
        <w:t xml:space="preserve"> million, as shown on column (15) of Schedule J</w:t>
      </w:r>
      <w:r w:rsidR="005B4B3A">
        <w:rPr>
          <w:rFonts w:cs="Arial"/>
          <w:szCs w:val="24"/>
        </w:rPr>
        <w:t xml:space="preserve"> of the DCRF-RFP</w:t>
      </w:r>
      <w:r w:rsidRPr="001A28D9" w:rsidR="003D2446">
        <w:rPr>
          <w:rFonts w:cs="Arial"/>
          <w:szCs w:val="24"/>
        </w:rPr>
        <w:t>.</w:t>
      </w:r>
    </w:p>
    <w:p w:rsidR="00D63335" w:rsidP="001E7595" w14:paraId="1EB99DCF" w14:textId="565BEAFD">
      <w:pPr>
        <w:pStyle w:val="BodyText"/>
        <w:rPr>
          <w:rFonts w:cs="Arial"/>
          <w:color w:val="auto"/>
          <w:szCs w:val="24"/>
          <w:shd w:val="clear" w:color="auto" w:fill="auto"/>
        </w:rPr>
      </w:pPr>
      <w:r>
        <w:rPr>
          <w:rFonts w:cs="Arial"/>
          <w:szCs w:val="24"/>
        </w:rPr>
        <w:t>Q.</w:t>
      </w:r>
      <w:r>
        <w:rPr>
          <w:rFonts w:cs="Arial"/>
          <w:szCs w:val="24"/>
        </w:rPr>
        <w:tab/>
        <w:t>DOES THIS CONCLUDE YOUR DIRECT TESTIMONY?</w:t>
      </w:r>
    </w:p>
    <w:p w:rsidR="00CE5FBB" w:rsidP="00D63335" w14:paraId="5F8A84EE" w14:textId="50938DB8">
      <w:pPr>
        <w:pStyle w:val="BodyText"/>
        <w:rPr>
          <w:rFonts w:cs="Arial"/>
          <w:color w:val="auto"/>
          <w:szCs w:val="24"/>
          <w:shd w:val="clear" w:color="auto" w:fill="auto"/>
        </w:rPr>
        <w:sectPr w:rsidSect="001F11BB">
          <w:footerReference w:type="even" r:id="rId7"/>
          <w:footerReference w:type="default" r:id="rId8"/>
          <w:footerReference w:type="first" r:id="rId9"/>
          <w:pgSz w:w="12240" w:h="15840" w:code="1"/>
          <w:pgMar w:top="1440" w:right="1350" w:bottom="1440" w:left="2160" w:header="360" w:footer="288" w:gutter="0"/>
          <w:lnNumType w:countBy="1"/>
          <w:cols w:space="709"/>
        </w:sectPr>
      </w:pPr>
      <w:r>
        <w:rPr>
          <w:rFonts w:cs="Arial"/>
          <w:szCs w:val="24"/>
        </w:rPr>
        <w:t>A.</w:t>
      </w:r>
      <w:r>
        <w:rPr>
          <w:rFonts w:cs="Arial"/>
          <w:szCs w:val="24"/>
        </w:rPr>
        <w:tab/>
        <w:t>Yes.</w:t>
      </w:r>
    </w:p>
    <w:p w:rsidR="00CE5FBB" w14:paraId="76AAA3EC" w14:textId="77777777">
      <w:pPr>
        <w:ind w:hanging="720"/>
        <w:rPr>
          <w:rFonts w:cs="Arial"/>
          <w:color w:val="auto"/>
          <w:szCs w:val="24"/>
          <w:shd w:val="clear" w:color="auto" w:fill="auto"/>
        </w:rPr>
      </w:pPr>
    </w:p>
    <w:p w:rsidR="00CE5FBB" w14:paraId="0B5F7BFD" w14:textId="77777777">
      <w:pPr>
        <w:pStyle w:val="Bty"/>
        <w:rPr>
          <w:rFonts w:cs="Arial"/>
          <w:color w:val="auto"/>
          <w:szCs w:val="24"/>
          <w:shd w:val="clear" w:color="auto" w:fill="auto"/>
        </w:rPr>
      </w:pPr>
      <w:r>
        <w:rPr>
          <w:rFonts w:cs="Arial"/>
          <w:szCs w:val="24"/>
        </w:rPr>
        <w:t>STATE OF TEXAS</w:t>
      </w:r>
      <w:r>
        <w:rPr>
          <w:rFonts w:cs="Arial"/>
          <w:szCs w:val="24"/>
        </w:rPr>
        <w:tab/>
      </w:r>
      <w:r>
        <w:rPr>
          <w:rFonts w:cs="Arial"/>
          <w:szCs w:val="24"/>
        </w:rPr>
        <w:tab/>
        <w:t>§</w:t>
      </w:r>
    </w:p>
    <w:p w:rsidR="00CE5FBB" w14:paraId="69245813" w14:textId="77777777">
      <w:pPr>
        <w:pStyle w:val="Bty"/>
        <w:rPr>
          <w:rFonts w:cs="Arial"/>
          <w:color w:val="auto"/>
          <w:szCs w:val="24"/>
          <w:shd w:val="clear" w:color="auto" w:fill="auto"/>
        </w:rPr>
      </w:pPr>
      <w:r>
        <w:rPr>
          <w:rFonts w:cs="Arial"/>
          <w:szCs w:val="24"/>
        </w:rPr>
        <w:tab/>
      </w:r>
      <w:r>
        <w:rPr>
          <w:rFonts w:cs="Arial"/>
          <w:szCs w:val="24"/>
        </w:rPr>
        <w:tab/>
      </w:r>
      <w:r>
        <w:rPr>
          <w:rFonts w:cs="Arial"/>
          <w:szCs w:val="24"/>
        </w:rPr>
        <w:tab/>
      </w:r>
      <w:r>
        <w:rPr>
          <w:rFonts w:cs="Arial"/>
          <w:szCs w:val="24"/>
        </w:rPr>
        <w:tab/>
        <w:t>§</w:t>
      </w:r>
    </w:p>
    <w:p w:rsidR="00CE5FBB" w14:paraId="3253AF77" w14:textId="77777777">
      <w:pPr>
        <w:pStyle w:val="Bty"/>
        <w:rPr>
          <w:rFonts w:cs="Arial"/>
          <w:color w:val="auto"/>
          <w:szCs w:val="24"/>
          <w:shd w:val="clear" w:color="auto" w:fill="auto"/>
        </w:rPr>
      </w:pPr>
      <w:r>
        <w:rPr>
          <w:rFonts w:cs="Arial"/>
          <w:szCs w:val="24"/>
        </w:rPr>
        <w:t>COUNTY OF DALLAS</w:t>
      </w:r>
      <w:r>
        <w:rPr>
          <w:rFonts w:cs="Arial"/>
          <w:szCs w:val="24"/>
        </w:rPr>
        <w:tab/>
        <w:t>§</w:t>
      </w:r>
    </w:p>
    <w:p w:rsidR="00CE5FBB" w14:paraId="4F7F248C" w14:textId="77777777">
      <w:pPr>
        <w:tabs>
          <w:tab w:val="left" w:pos="720"/>
        </w:tabs>
        <w:spacing w:line="360" w:lineRule="auto"/>
        <w:ind w:hanging="720"/>
        <w:rPr>
          <w:rFonts w:cs="Arial"/>
          <w:color w:val="auto"/>
          <w:szCs w:val="24"/>
          <w:shd w:val="clear" w:color="auto" w:fill="auto"/>
        </w:rPr>
      </w:pPr>
    </w:p>
    <w:p w:rsidR="00CE5FBB" w14:paraId="5BA9F12A" w14:textId="77777777">
      <w:pPr>
        <w:tabs>
          <w:tab w:val="left" w:pos="720"/>
        </w:tabs>
        <w:spacing w:line="360" w:lineRule="auto"/>
        <w:ind w:hanging="720"/>
        <w:rPr>
          <w:rFonts w:cs="Arial"/>
          <w:color w:val="auto"/>
          <w:szCs w:val="24"/>
          <w:shd w:val="clear" w:color="auto" w:fill="auto"/>
        </w:rPr>
      </w:pPr>
    </w:p>
    <w:p w:rsidR="00CE5FBB" w14:paraId="2195BE16" w14:textId="00F90231">
      <w:pPr>
        <w:tabs>
          <w:tab w:val="left" w:pos="720"/>
        </w:tabs>
        <w:spacing w:line="360" w:lineRule="auto"/>
        <w:ind w:hanging="720"/>
        <w:jc w:val="both"/>
        <w:rPr>
          <w:rFonts w:cs="Arial"/>
          <w:color w:val="auto"/>
          <w:szCs w:val="24"/>
          <w:shd w:val="clear" w:color="auto" w:fill="auto"/>
        </w:rPr>
      </w:pPr>
      <w:r>
        <w:rPr>
          <w:rFonts w:cs="Arial"/>
          <w:szCs w:val="24"/>
        </w:rPr>
        <w:tab/>
      </w:r>
      <w:r>
        <w:rPr>
          <w:rFonts w:cs="Arial"/>
          <w:szCs w:val="24"/>
        </w:rPr>
        <w:tab/>
      </w:r>
      <w:r>
        <w:rPr>
          <w:rFonts w:cs="Arial"/>
          <w:b/>
          <w:szCs w:val="24"/>
        </w:rPr>
        <w:t xml:space="preserve">BEFORE ME, </w:t>
      </w:r>
      <w:r>
        <w:rPr>
          <w:rFonts w:cs="Arial"/>
          <w:szCs w:val="24"/>
        </w:rPr>
        <w:t xml:space="preserve">the undersigned authority, on this day personally appeared </w:t>
      </w:r>
      <w:r w:rsidR="00CB6656">
        <w:rPr>
          <w:rFonts w:cs="Arial"/>
          <w:szCs w:val="24"/>
        </w:rPr>
        <w:t>W. Alan Ledbetter</w:t>
      </w:r>
      <w:r>
        <w:rPr>
          <w:rFonts w:cs="Arial"/>
          <w:szCs w:val="24"/>
        </w:rPr>
        <w:t>, who, having been placed under oath by me, did depose as follows:</w:t>
      </w:r>
    </w:p>
    <w:p w:rsidR="00CE5FBB" w14:paraId="08AA2611" w14:textId="77777777">
      <w:pPr>
        <w:tabs>
          <w:tab w:val="left" w:pos="720"/>
        </w:tabs>
        <w:spacing w:line="360" w:lineRule="auto"/>
        <w:ind w:hanging="720"/>
        <w:jc w:val="both"/>
        <w:rPr>
          <w:rFonts w:cs="Arial"/>
          <w:color w:val="auto"/>
          <w:szCs w:val="24"/>
          <w:shd w:val="clear" w:color="auto" w:fill="auto"/>
        </w:rPr>
      </w:pPr>
      <w:r>
        <w:rPr>
          <w:rFonts w:cs="Arial"/>
          <w:szCs w:val="24"/>
        </w:rPr>
        <w:tab/>
      </w:r>
    </w:p>
    <w:p w:rsidR="00CE5FBB" w14:paraId="02830603" w14:textId="496AAC4F">
      <w:pPr>
        <w:tabs>
          <w:tab w:val="left" w:pos="720"/>
        </w:tabs>
        <w:spacing w:line="360" w:lineRule="auto"/>
        <w:ind w:hanging="720"/>
        <w:jc w:val="both"/>
        <w:rPr>
          <w:rFonts w:cs="Arial"/>
          <w:color w:val="auto"/>
          <w:szCs w:val="24"/>
          <w:shd w:val="clear" w:color="auto" w:fill="auto"/>
        </w:rPr>
      </w:pPr>
      <w:r>
        <w:rPr>
          <w:rFonts w:cs="Arial"/>
          <w:szCs w:val="24"/>
        </w:rPr>
        <w:tab/>
      </w:r>
      <w:r>
        <w:rPr>
          <w:rFonts w:cs="Arial"/>
          <w:szCs w:val="24"/>
        </w:rPr>
        <w:tab/>
        <w:t xml:space="preserve">My name is </w:t>
      </w:r>
      <w:r w:rsidR="00CB6656">
        <w:rPr>
          <w:rFonts w:cs="Arial"/>
          <w:szCs w:val="24"/>
        </w:rPr>
        <w:t>W. Alan Ledbetter</w:t>
      </w:r>
      <w:r>
        <w:rPr>
          <w:rFonts w:cs="Arial"/>
          <w:szCs w:val="24"/>
        </w:rPr>
        <w:t>.  I am of legal age and a resident of the State of Texas.</w:t>
      </w:r>
      <w:r w:rsidR="00CB6656">
        <w:rPr>
          <w:rFonts w:cs="Arial"/>
          <w:szCs w:val="24"/>
        </w:rPr>
        <w:t xml:space="preserve">  The Application in this proceeding complies with 16 </w:t>
      </w:r>
      <w:r w:rsidRPr="00CB6656" w:rsidR="00CB6656">
        <w:rPr>
          <w:rFonts w:cs="Arial"/>
          <w:szCs w:val="24"/>
        </w:rPr>
        <w:t>TAC § 25</w:t>
      </w:r>
      <w:r w:rsidR="00CB6656">
        <w:rPr>
          <w:rFonts w:cs="Arial"/>
          <w:szCs w:val="24"/>
        </w:rPr>
        <w:t>.243 and Oncor’s tariffs.</w:t>
      </w:r>
      <w:r>
        <w:rPr>
          <w:rFonts w:cs="Arial"/>
          <w:szCs w:val="24"/>
        </w:rPr>
        <w:t xml:space="preserve">  The </w:t>
      </w:r>
      <w:r w:rsidR="00CB6656">
        <w:rPr>
          <w:rFonts w:cs="Arial"/>
          <w:szCs w:val="24"/>
        </w:rPr>
        <w:t xml:space="preserve">Application and the </w:t>
      </w:r>
      <w:r>
        <w:rPr>
          <w:rFonts w:cs="Arial"/>
          <w:szCs w:val="24"/>
        </w:rPr>
        <w:t xml:space="preserve">foregoing direct testimony </w:t>
      </w:r>
      <w:r w:rsidR="00D80C86">
        <w:rPr>
          <w:rFonts w:cs="Arial"/>
          <w:szCs w:val="24"/>
        </w:rPr>
        <w:t xml:space="preserve">and exhibits </w:t>
      </w:r>
      <w:r>
        <w:rPr>
          <w:rFonts w:cs="Arial"/>
          <w:szCs w:val="24"/>
        </w:rPr>
        <w:t xml:space="preserve">offered by me </w:t>
      </w:r>
      <w:r w:rsidR="00CB6656">
        <w:rPr>
          <w:rFonts w:cs="Arial"/>
          <w:szCs w:val="24"/>
        </w:rPr>
        <w:t>are</w:t>
      </w:r>
      <w:r>
        <w:rPr>
          <w:rFonts w:cs="Arial"/>
          <w:szCs w:val="24"/>
        </w:rPr>
        <w:t xml:space="preserve"> true and correct, and the opinions stated therein are, to the best of my knowledge and belief, accurate, true</w:t>
      </w:r>
      <w:r w:rsidR="00CB6656">
        <w:rPr>
          <w:rFonts w:cs="Arial"/>
          <w:szCs w:val="24"/>
        </w:rPr>
        <w:t>,</w:t>
      </w:r>
      <w:r>
        <w:rPr>
          <w:rFonts w:cs="Arial"/>
          <w:szCs w:val="24"/>
        </w:rPr>
        <w:t xml:space="preserve"> and correct.</w:t>
      </w:r>
    </w:p>
    <w:p w:rsidR="00CE5FBB" w14:paraId="778A5E87" w14:textId="77777777">
      <w:pPr>
        <w:tabs>
          <w:tab w:val="left" w:pos="720"/>
        </w:tabs>
        <w:spacing w:line="360" w:lineRule="auto"/>
        <w:ind w:hanging="720"/>
        <w:rPr>
          <w:rFonts w:cs="Arial"/>
          <w:color w:val="auto"/>
          <w:szCs w:val="24"/>
          <w:shd w:val="clear" w:color="auto" w:fill="auto"/>
        </w:rPr>
      </w:pPr>
    </w:p>
    <w:p w:rsidR="00CE5FBB" w14:paraId="12595F27" w14:textId="77777777">
      <w:pPr>
        <w:tabs>
          <w:tab w:val="left" w:pos="720"/>
        </w:tabs>
        <w:spacing w:line="360" w:lineRule="auto"/>
        <w:ind w:hanging="720"/>
        <w:rPr>
          <w:rFonts w:cs="Arial"/>
          <w:color w:val="auto"/>
          <w:szCs w:val="24"/>
          <w:shd w:val="clear" w:color="auto" w:fill="auto"/>
        </w:rPr>
      </w:pPr>
    </w:p>
    <w:p w:rsidR="00CE5FBB" w14:paraId="09A41A30" w14:textId="77777777">
      <w:pPr>
        <w:tabs>
          <w:tab w:val="left" w:pos="720"/>
        </w:tabs>
        <w:ind w:hanging="720"/>
        <w:jc w:val="right"/>
        <w:rPr>
          <w:rFonts w:cs="Arial"/>
          <w:color w:val="auto"/>
          <w:szCs w:val="24"/>
          <w:shd w:val="clear" w:color="auto" w:fill="auto"/>
        </w:rPr>
      </w:pPr>
      <w:r>
        <w:rPr>
          <w:rFonts w:cs="Arial"/>
          <w:szCs w:val="24"/>
        </w:rPr>
        <w:t>______________________________</w:t>
      </w:r>
    </w:p>
    <w:p w:rsidR="00CE5FBB" w14:paraId="778D4DB2" w14:textId="5A3DDAF4">
      <w:pPr>
        <w:tabs>
          <w:tab w:val="left" w:pos="720"/>
        </w:tabs>
        <w:ind w:hanging="720"/>
        <w:rPr>
          <w:rFonts w:cs="Arial"/>
          <w:color w:val="auto"/>
          <w:szCs w:val="24"/>
          <w:shd w:val="clear" w:color="auto" w:fill="auto"/>
        </w:rPr>
      </w:pPr>
      <w:r>
        <w:rPr>
          <w:rFonts w:cs="Arial"/>
          <w:szCs w:val="24"/>
        </w:rPr>
        <w:tab/>
      </w:r>
      <w:r>
        <w:rPr>
          <w:rFonts w:cs="Arial"/>
          <w:szCs w:val="24"/>
        </w:rPr>
        <w:tab/>
      </w:r>
      <w:r>
        <w:rPr>
          <w:rFonts w:cs="Arial"/>
          <w:szCs w:val="24"/>
        </w:rPr>
        <w:tab/>
      </w:r>
      <w:r>
        <w:rPr>
          <w:rFonts w:cs="Arial"/>
          <w:szCs w:val="24"/>
        </w:rPr>
        <w:tab/>
      </w:r>
      <w:r>
        <w:rPr>
          <w:rFonts w:cs="Arial"/>
          <w:szCs w:val="24"/>
        </w:rPr>
        <w:tab/>
      </w:r>
      <w:r>
        <w:rPr>
          <w:rFonts w:cs="Arial"/>
          <w:szCs w:val="24"/>
        </w:rPr>
        <w:tab/>
      </w:r>
      <w:r>
        <w:rPr>
          <w:rFonts w:cs="Arial"/>
          <w:szCs w:val="24"/>
        </w:rPr>
        <w:tab/>
      </w:r>
      <w:r>
        <w:rPr>
          <w:rFonts w:cs="Arial"/>
          <w:szCs w:val="24"/>
        </w:rPr>
        <w:tab/>
      </w:r>
      <w:r>
        <w:rPr>
          <w:rFonts w:cs="Arial"/>
          <w:szCs w:val="24"/>
        </w:rPr>
        <w:tab/>
      </w:r>
      <w:r w:rsidR="00CB6656">
        <w:rPr>
          <w:rFonts w:cs="Arial"/>
          <w:szCs w:val="24"/>
        </w:rPr>
        <w:t>W. Alan Ledbetter</w:t>
      </w:r>
    </w:p>
    <w:p w:rsidR="00CE5FBB" w14:paraId="02EA9097" w14:textId="77777777">
      <w:pPr>
        <w:tabs>
          <w:tab w:val="left" w:pos="720"/>
        </w:tabs>
        <w:spacing w:line="360" w:lineRule="auto"/>
        <w:ind w:hanging="720"/>
        <w:rPr>
          <w:rFonts w:cs="Arial"/>
          <w:color w:val="auto"/>
          <w:szCs w:val="24"/>
          <w:shd w:val="clear" w:color="auto" w:fill="auto"/>
        </w:rPr>
      </w:pPr>
    </w:p>
    <w:p w:rsidR="00CE5FBB" w14:paraId="7BB9AC1F" w14:textId="77777777">
      <w:pPr>
        <w:tabs>
          <w:tab w:val="left" w:pos="720"/>
        </w:tabs>
        <w:spacing w:line="360" w:lineRule="auto"/>
        <w:ind w:hanging="720"/>
        <w:rPr>
          <w:rFonts w:cs="Arial"/>
          <w:color w:val="auto"/>
          <w:szCs w:val="24"/>
          <w:shd w:val="clear" w:color="auto" w:fill="auto"/>
        </w:rPr>
      </w:pPr>
    </w:p>
    <w:p w:rsidR="00CE5FBB" w14:paraId="1D0D151B" w14:textId="6CF8FCE8">
      <w:pPr>
        <w:tabs>
          <w:tab w:val="left" w:pos="720"/>
        </w:tabs>
        <w:spacing w:line="360" w:lineRule="auto"/>
        <w:ind w:hanging="720"/>
        <w:rPr>
          <w:rFonts w:cs="Arial"/>
          <w:color w:val="auto"/>
          <w:szCs w:val="24"/>
          <w:shd w:val="clear" w:color="auto" w:fill="auto"/>
        </w:rPr>
      </w:pPr>
      <w:r>
        <w:rPr>
          <w:rFonts w:cs="Arial"/>
          <w:szCs w:val="24"/>
        </w:rPr>
        <w:tab/>
      </w:r>
      <w:r>
        <w:rPr>
          <w:rFonts w:cs="Arial"/>
          <w:b/>
          <w:szCs w:val="24"/>
        </w:rPr>
        <w:t xml:space="preserve">SUBSCRIBED AND SWORN TO BEFORE ME </w:t>
      </w:r>
      <w:r>
        <w:rPr>
          <w:rFonts w:cs="Arial"/>
          <w:szCs w:val="24"/>
        </w:rPr>
        <w:t xml:space="preserve">by the said </w:t>
      </w:r>
      <w:r w:rsidR="00CB6656">
        <w:rPr>
          <w:rFonts w:cs="Arial"/>
          <w:szCs w:val="24"/>
        </w:rPr>
        <w:t xml:space="preserve">W. Alan Ledbetter </w:t>
      </w:r>
      <w:r>
        <w:rPr>
          <w:rFonts w:cs="Arial"/>
          <w:szCs w:val="24"/>
        </w:rPr>
        <w:t>t</w:t>
      </w:r>
      <w:r w:rsidR="00457177">
        <w:rPr>
          <w:rFonts w:cs="Arial"/>
          <w:szCs w:val="24"/>
        </w:rPr>
        <w:t xml:space="preserve">his ______ day of </w:t>
      </w:r>
      <w:r w:rsidR="00883941">
        <w:rPr>
          <w:rFonts w:cs="Arial"/>
          <w:szCs w:val="24"/>
        </w:rPr>
        <w:t>September</w:t>
      </w:r>
      <w:r w:rsidR="0096420D">
        <w:rPr>
          <w:rFonts w:cs="Arial"/>
          <w:szCs w:val="24"/>
        </w:rPr>
        <w:t>, 202</w:t>
      </w:r>
      <w:r w:rsidR="00CB6656">
        <w:rPr>
          <w:rFonts w:cs="Arial"/>
          <w:szCs w:val="24"/>
        </w:rPr>
        <w:t>3</w:t>
      </w:r>
      <w:r>
        <w:rPr>
          <w:rFonts w:cs="Arial"/>
          <w:szCs w:val="24"/>
        </w:rPr>
        <w:t>.</w:t>
      </w:r>
    </w:p>
    <w:p w:rsidR="00CE5FBB" w14:paraId="19EF7052" w14:textId="77777777">
      <w:pPr>
        <w:tabs>
          <w:tab w:val="left" w:pos="720"/>
        </w:tabs>
        <w:spacing w:line="360" w:lineRule="auto"/>
        <w:ind w:hanging="720"/>
        <w:rPr>
          <w:rFonts w:cs="Arial"/>
          <w:color w:val="auto"/>
          <w:szCs w:val="24"/>
          <w:shd w:val="clear" w:color="auto" w:fill="auto"/>
        </w:rPr>
      </w:pPr>
    </w:p>
    <w:p w:rsidR="00CE5FBB" w14:paraId="11B4C685" w14:textId="77777777">
      <w:pPr>
        <w:tabs>
          <w:tab w:val="left" w:pos="720"/>
        </w:tabs>
        <w:spacing w:line="360" w:lineRule="auto"/>
        <w:ind w:hanging="720"/>
        <w:rPr>
          <w:rFonts w:cs="Arial"/>
          <w:color w:val="auto"/>
          <w:szCs w:val="24"/>
          <w:shd w:val="clear" w:color="auto" w:fill="auto"/>
        </w:rPr>
      </w:pPr>
    </w:p>
    <w:p w:rsidR="00CE5FBB" w14:paraId="5F308FCA" w14:textId="77777777">
      <w:pPr>
        <w:tabs>
          <w:tab w:val="left" w:pos="720"/>
        </w:tabs>
        <w:ind w:hanging="720"/>
        <w:jc w:val="right"/>
        <w:rPr>
          <w:rFonts w:cs="Arial"/>
          <w:color w:val="auto"/>
          <w:szCs w:val="24"/>
          <w:shd w:val="clear" w:color="auto" w:fill="auto"/>
        </w:rPr>
      </w:pPr>
      <w:r>
        <w:rPr>
          <w:rFonts w:cs="Arial"/>
          <w:szCs w:val="24"/>
        </w:rPr>
        <w:t>______________________________</w:t>
      </w:r>
    </w:p>
    <w:p w:rsidR="00CE5FBB" w14:paraId="6509306A" w14:textId="77777777">
      <w:pPr>
        <w:tabs>
          <w:tab w:val="left" w:pos="720"/>
        </w:tabs>
        <w:ind w:hanging="720"/>
        <w:rPr>
          <w:rFonts w:cs="Arial"/>
          <w:color w:val="auto"/>
          <w:szCs w:val="24"/>
          <w:shd w:val="clear" w:color="auto" w:fill="auto"/>
        </w:rPr>
      </w:pPr>
      <w:r>
        <w:rPr>
          <w:rFonts w:cs="Arial"/>
          <w:szCs w:val="24"/>
        </w:rPr>
        <w:tab/>
      </w:r>
      <w:r>
        <w:rPr>
          <w:rFonts w:cs="Arial"/>
          <w:szCs w:val="24"/>
        </w:rPr>
        <w:tab/>
      </w:r>
      <w:r>
        <w:rPr>
          <w:rFonts w:cs="Arial"/>
          <w:szCs w:val="24"/>
        </w:rPr>
        <w:tab/>
      </w:r>
      <w:r>
        <w:rPr>
          <w:rFonts w:cs="Arial"/>
          <w:szCs w:val="24"/>
        </w:rPr>
        <w:tab/>
      </w:r>
      <w:r>
        <w:rPr>
          <w:rFonts w:cs="Arial"/>
          <w:szCs w:val="24"/>
        </w:rPr>
        <w:tab/>
      </w:r>
      <w:r>
        <w:rPr>
          <w:rFonts w:cs="Arial"/>
          <w:szCs w:val="24"/>
        </w:rPr>
        <w:tab/>
      </w:r>
      <w:r>
        <w:rPr>
          <w:rFonts w:cs="Arial"/>
          <w:szCs w:val="24"/>
        </w:rPr>
        <w:tab/>
      </w:r>
      <w:r>
        <w:rPr>
          <w:rFonts w:cs="Arial"/>
          <w:szCs w:val="24"/>
        </w:rPr>
        <w:tab/>
        <w:t>Notary Public, State of Texas</w:t>
      </w:r>
    </w:p>
    <w:p w:rsidR="00CE5FBB" w14:paraId="2C935243" w14:textId="77777777">
      <w:pPr>
        <w:rPr>
          <w:rFonts w:cs="Arial"/>
          <w:color w:val="auto"/>
          <w:szCs w:val="24"/>
          <w:shd w:val="clear" w:color="auto" w:fill="auto"/>
        </w:rPr>
      </w:pPr>
    </w:p>
    <w:p w:rsidR="00CE5FBB" w14:paraId="2AC7A291" w14:textId="77777777">
      <w:pPr>
        <w:rPr>
          <w:rFonts w:cs="Arial"/>
          <w:color w:val="auto"/>
          <w:szCs w:val="24"/>
          <w:shd w:val="clear" w:color="auto" w:fill="auto"/>
        </w:rPr>
      </w:pPr>
    </w:p>
    <w:sectPr>
      <w:footerReference w:type="even" r:id="rId10"/>
      <w:footerReference w:type="default" r:id="rId11"/>
      <w:footerReference w:type="first" r:id="rId12"/>
      <w:pgSz w:w="12240" w:h="15840" w:code="1"/>
      <w:pgMar w:top="1440" w:right="1440" w:bottom="1440" w:left="216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556E3" w14:paraId="24FE98A8" w14:textId="77777777">
    <w:pPr>
      <w:pStyle w:val="Footer"/>
      <w:framePr w:wrap="around" w:vAnchor="text" w:hAnchor="margin" w:xAlign="center" w:y="1"/>
      <w:rPr>
        <w:rStyle w:val="PageNumber"/>
        <w:color w:val="auto"/>
        <w:shd w:val="clear" w:color="auto" w:fill="auto"/>
      </w:rPr>
    </w:pPr>
    <w:r>
      <w:rPr>
        <w:rStyle w:val="PageNumber"/>
      </w:rPr>
      <w:fldChar w:fldCharType="begin"/>
    </w:r>
    <w:r>
      <w:rPr>
        <w:rStyle w:val="PageNumber"/>
      </w:rPr>
      <w:instrText xml:space="preserve">PAGE  </w:instrText>
    </w:r>
    <w:r w:rsidR="00CC51F2">
      <w:rPr>
        <w:rStyle w:val="PageNumber"/>
      </w:rPr>
      <w:fldChar w:fldCharType="separate"/>
    </w:r>
    <w:r>
      <w:rPr>
        <w:rStyle w:val="PageNumber"/>
      </w:rPr>
      <w:fldChar w:fldCharType="end"/>
    </w:r>
  </w:p>
  <w:p w:rsidR="00A556E3" w14:paraId="56332B8A" w14:textId="77777777">
    <w:pPr>
      <w:pStyle w:val="Footer"/>
      <w:rPr>
        <w:color w:val="auto"/>
        <w:shd w:val="clear" w:color="auto" w:fill="auto"/>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556E3" w14:paraId="79E5D52B" w14:textId="77777777">
    <w:pPr>
      <w:pStyle w:val="Footer"/>
      <w:framePr w:wrap="around" w:vAnchor="text" w:hAnchor="margin" w:xAlign="center" w:y="1"/>
      <w:rPr>
        <w:rStyle w:val="PageNumber"/>
        <w:color w:val="auto"/>
        <w:shd w:val="clear" w:color="auto" w:fill="auto"/>
      </w:rPr>
    </w:pPr>
  </w:p>
  <w:p w:rsidR="00A556E3" w14:paraId="012FD9A5" w14:textId="77777777">
    <w:pPr>
      <w:pStyle w:val="Footer"/>
      <w:tabs>
        <w:tab w:val="clear" w:pos="4320"/>
        <w:tab w:val="center" w:pos="4680"/>
        <w:tab w:val="clear" w:pos="8640"/>
        <w:tab w:val="right" w:pos="9360"/>
      </w:tabs>
      <w:ind w:right="-120"/>
      <w:rPr>
        <w:b/>
        <w:bCs/>
        <w:color w:val="auto"/>
        <w:shd w:val="clear" w:color="auto" w:fill="auto"/>
      </w:rPr>
    </w:pPr>
    <w:r>
      <w:rPr>
        <w:b/>
        <w:bCs/>
      </w:rPr>
      <w:t>_________________________________________________________________</w:t>
    </w:r>
  </w:p>
  <w:p w:rsidR="00A556E3" w:rsidP="00DF0474" w14:paraId="23BD4EB5" w14:textId="09499EC0">
    <w:pPr>
      <w:pStyle w:val="Footer"/>
      <w:tabs>
        <w:tab w:val="clear" w:pos="4320"/>
        <w:tab w:val="center" w:pos="4680"/>
        <w:tab w:val="left" w:pos="6030"/>
        <w:tab w:val="clear" w:pos="8640"/>
        <w:tab w:val="right" w:pos="9360"/>
      </w:tabs>
      <w:jc w:val="both"/>
      <w:rPr>
        <w:b/>
        <w:color w:val="auto"/>
        <w:shd w:val="clear" w:color="auto" w:fill="auto"/>
      </w:rPr>
    </w:pPr>
    <w:r>
      <w:rPr>
        <w:b/>
        <w:bCs/>
      </w:rPr>
      <w:t>PUC Docket No. _____</w:t>
    </w:r>
    <w:r>
      <w:rPr>
        <w:rStyle w:val="PageNumber"/>
      </w:rPr>
      <w:t xml:space="preserve">          </w:t>
    </w:r>
    <w:r>
      <w:rPr>
        <w:rStyle w:val="PageNumber"/>
      </w:rPr>
      <w:tab/>
    </w:r>
    <w:r>
      <w:rPr>
        <w:rStyle w:val="PageNumber"/>
      </w:rPr>
      <w:tab/>
    </w:r>
    <w:r w:rsidR="00DF0474">
      <w:rPr>
        <w:rStyle w:val="PageNumber"/>
      </w:rPr>
      <w:t xml:space="preserve">          </w:t>
    </w:r>
    <w:r w:rsidRPr="009F7F9C" w:rsidR="009F7F9C">
      <w:rPr>
        <w:rStyle w:val="PageNumber"/>
        <w:b/>
        <w:bCs/>
      </w:rPr>
      <w:t>Ledbetter</w:t>
    </w:r>
    <w:r w:rsidRPr="009F7F9C">
      <w:rPr>
        <w:b/>
        <w:bCs/>
        <w:color w:val="FF0000"/>
      </w:rPr>
      <w:t xml:space="preserve"> </w:t>
    </w:r>
    <w:r>
      <w:rPr>
        <w:b/>
      </w:rPr>
      <w:t>- Direct</w:t>
    </w:r>
  </w:p>
  <w:p w:rsidR="00A556E3" w:rsidP="00DF0474" w14:paraId="30813F56" w14:textId="7395D450">
    <w:pPr>
      <w:pStyle w:val="Footer"/>
      <w:tabs>
        <w:tab w:val="left" w:pos="6030"/>
        <w:tab w:val="clear" w:pos="8640"/>
        <w:tab w:val="right" w:pos="8730"/>
      </w:tabs>
      <w:jc w:val="both"/>
      <w:rPr>
        <w:b/>
        <w:color w:val="auto"/>
        <w:shd w:val="clear" w:color="auto" w:fill="auto"/>
      </w:rPr>
    </w:pPr>
    <w:r>
      <w:rPr>
        <w:b/>
      </w:rPr>
      <w:tab/>
    </w:r>
    <w:r>
      <w:rPr>
        <w:b/>
      </w:rPr>
      <w:tab/>
      <w:t>Oncor Electric Delivery</w:t>
    </w:r>
  </w:p>
  <w:p w:rsidR="00457177" w:rsidP="00624638" w14:paraId="69679374" w14:textId="0735726B">
    <w:pPr>
      <w:pStyle w:val="Footer"/>
      <w:tabs>
        <w:tab w:val="left" w:pos="2610"/>
        <w:tab w:val="clear" w:pos="8640"/>
        <w:tab w:val="right" w:pos="8730"/>
      </w:tabs>
      <w:jc w:val="right"/>
      <w:rPr>
        <w:b/>
        <w:color w:val="auto"/>
        <w:shd w:val="clear" w:color="auto" w:fill="auto"/>
      </w:rPr>
    </w:pPr>
    <w:r>
      <w:rPr>
        <w:b/>
      </w:rPr>
      <w:tab/>
    </w:r>
    <w:r>
      <w:rPr>
        <w:b/>
      </w:rPr>
      <w:tab/>
    </w:r>
    <w:r w:rsidR="004D7117">
      <w:rPr>
        <w:b/>
      </w:rPr>
      <w:t>September</w:t>
    </w:r>
    <w:r w:rsidR="00624638">
      <w:rPr>
        <w:b/>
      </w:rPr>
      <w:t xml:space="preserve"> </w:t>
    </w:r>
    <w:r>
      <w:rPr>
        <w:b/>
      </w:rPr>
      <w:t>202</w:t>
    </w:r>
    <w:r w:rsidR="009F7F9C">
      <w:rPr>
        <w:b/>
      </w:rPr>
      <w:t>3</w:t>
    </w:r>
    <w:r>
      <w:rPr>
        <w:b/>
      </w:rPr>
      <w:t xml:space="preserve"> </w:t>
    </w:r>
    <w:r w:rsidR="001F11BB">
      <w:rPr>
        <w:b/>
      </w:rPr>
      <w:t>DCRF Application</w:t>
    </w:r>
  </w:p>
  <w:p w:rsidR="00457177" w:rsidP="00457177" w14:paraId="4590BD18" w14:textId="77777777">
    <w:pPr>
      <w:pStyle w:val="Footer"/>
      <w:tabs>
        <w:tab w:val="left" w:pos="6030"/>
      </w:tabs>
      <w:rPr>
        <w:b/>
        <w:color w:val="auto"/>
        <w:shd w:val="clear" w:color="auto" w:fill="auto"/>
      </w:rPr>
    </w:pPr>
  </w:p>
  <w:p w:rsidR="00A556E3" w14:paraId="5CB30BBF" w14:textId="77777777">
    <w:pPr>
      <w:pStyle w:val="Footer"/>
      <w:jc w:val="center"/>
      <w:rPr>
        <w:rStyle w:val="PageNumber"/>
        <w:color w:val="auto"/>
        <w:shd w:val="clear" w:color="auto" w:fill="auto"/>
      </w:rPr>
    </w:pPr>
    <w:r>
      <w:t>-</w:t>
    </w:r>
    <w:r>
      <w:rPr>
        <w:b/>
      </w:rPr>
      <w:t xml:space="preserve"> </w:t>
    </w:r>
    <w:r>
      <w:rPr>
        <w:rStyle w:val="PageNumber"/>
      </w:rPr>
      <w:fldChar w:fldCharType="begin"/>
    </w:r>
    <w:r>
      <w:rPr>
        <w:rStyle w:val="PageNumber"/>
      </w:rPr>
      <w:instrText xml:space="preserve"> PAGE </w:instrText>
    </w:r>
    <w:r>
      <w:rPr>
        <w:rStyle w:val="PageNumber"/>
      </w:rPr>
      <w:fldChar w:fldCharType="separate"/>
    </w:r>
    <w:r w:rsidR="0096420D">
      <w:rPr>
        <w:rStyle w:val="PageNumber"/>
        <w:noProof/>
      </w:rPr>
      <w:t>1</w:t>
    </w:r>
    <w:r>
      <w:rPr>
        <w:rStyle w:val="PageNumber"/>
      </w:rPr>
      <w:fldChar w:fldCharType="end"/>
    </w:r>
    <w:r>
      <w:rPr>
        <w:rStyle w:val="PageNumber"/>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556E3" w14:paraId="12E5889F" w14:textId="77777777">
    <w:pPr>
      <w:pStyle w:val="Footer"/>
      <w:framePr w:wrap="around" w:vAnchor="text" w:hAnchor="margin" w:xAlign="center" w:y="1"/>
      <w:rPr>
        <w:rStyle w:val="PageNumber"/>
        <w:color w:val="auto"/>
        <w:shd w:val="clear" w:color="auto" w:fill="auto"/>
      </w:rPr>
    </w:pPr>
    <w:r>
      <w:rPr>
        <w:rStyle w:val="PageNumber"/>
      </w:rPr>
      <w:fldChar w:fldCharType="begin"/>
    </w:r>
    <w:r>
      <w:rPr>
        <w:rStyle w:val="PageNumber"/>
      </w:rPr>
      <w:instrText xml:space="preserve">PAGE  </w:instrText>
    </w:r>
    <w:r w:rsidR="00CC51F2">
      <w:rPr>
        <w:rStyle w:val="PageNumber"/>
      </w:rPr>
      <w:fldChar w:fldCharType="separate"/>
    </w:r>
    <w:r>
      <w:rPr>
        <w:rStyle w:val="PageNumber"/>
      </w:rPr>
      <w:fldChar w:fldCharType="end"/>
    </w:r>
  </w:p>
  <w:p w:rsidR="00A556E3" w14:paraId="0AB70A5D" w14:textId="77777777">
    <w:pPr>
      <w:pStyle w:val="Footer"/>
      <w:rPr>
        <w:color w:val="auto"/>
        <w:shd w:val="clear" w:color="auto" w:fill="auto"/>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556E3" w14:paraId="6D2B2930" w14:textId="77777777">
    <w:pPr>
      <w:pStyle w:val="Footer"/>
      <w:framePr w:wrap="around" w:vAnchor="text" w:hAnchor="margin" w:xAlign="center" w:y="1"/>
      <w:rPr>
        <w:rStyle w:val="PageNumber"/>
        <w:color w:val="auto"/>
        <w:shd w:val="clear" w:color="auto" w:fill="auto"/>
      </w:rPr>
    </w:pPr>
  </w:p>
  <w:p w:rsidR="00A556E3" w:rsidP="00A556E3" w14:paraId="2BD7F932" w14:textId="77777777">
    <w:pPr>
      <w:pStyle w:val="Footer"/>
      <w:tabs>
        <w:tab w:val="clear" w:pos="4320"/>
        <w:tab w:val="center" w:pos="4680"/>
        <w:tab w:val="clear" w:pos="8640"/>
        <w:tab w:val="right" w:pos="9360"/>
      </w:tabs>
      <w:ind w:right="-120"/>
      <w:rPr>
        <w:b/>
        <w:bCs/>
        <w:color w:val="auto"/>
        <w:shd w:val="clear" w:color="auto" w:fill="auto"/>
      </w:rPr>
    </w:pPr>
    <w:r>
      <w:rPr>
        <w:b/>
        <w:bCs/>
      </w:rPr>
      <w:t>_________________________________________________________________</w:t>
    </w:r>
  </w:p>
  <w:p w:rsidR="00A556E3" w:rsidP="00CB6656" w14:paraId="177FB63A" w14:textId="0436E36A">
    <w:pPr>
      <w:pStyle w:val="Footer"/>
      <w:tabs>
        <w:tab w:val="clear" w:pos="4320"/>
        <w:tab w:val="center" w:pos="4680"/>
        <w:tab w:val="left" w:pos="6030"/>
        <w:tab w:val="clear" w:pos="8640"/>
        <w:tab w:val="right" w:pos="9360"/>
      </w:tabs>
      <w:jc w:val="both"/>
      <w:rPr>
        <w:b/>
        <w:color w:val="auto"/>
        <w:shd w:val="clear" w:color="auto" w:fill="auto"/>
      </w:rPr>
    </w:pPr>
    <w:r>
      <w:rPr>
        <w:b/>
        <w:bCs/>
      </w:rPr>
      <w:t xml:space="preserve">PUC Docket No. ______ </w:t>
    </w:r>
    <w:r>
      <w:rPr>
        <w:b/>
        <w:bCs/>
      </w:rPr>
      <w:tab/>
    </w:r>
    <w:r>
      <w:rPr>
        <w:b/>
        <w:bCs/>
      </w:rPr>
      <w:tab/>
    </w:r>
    <w:r w:rsidR="00CB6656">
      <w:rPr>
        <w:b/>
        <w:bCs/>
      </w:rPr>
      <w:tab/>
    </w:r>
    <w:r w:rsidRPr="00CB6656">
      <w:rPr>
        <w:b/>
      </w:rPr>
      <w:t>Le</w:t>
    </w:r>
    <w:r w:rsidRPr="00CB6656" w:rsidR="009F7F9C">
      <w:rPr>
        <w:b/>
      </w:rPr>
      <w:t>dbetter</w:t>
    </w:r>
    <w:r w:rsidRPr="00CB6656">
      <w:rPr>
        <w:b/>
      </w:rPr>
      <w:t xml:space="preserve"> - </w:t>
    </w:r>
    <w:r>
      <w:rPr>
        <w:b/>
      </w:rPr>
      <w:t>Direct</w:t>
    </w:r>
  </w:p>
  <w:p w:rsidR="00A556E3" w:rsidP="00CB6656" w14:paraId="197E985A" w14:textId="616F41A9">
    <w:pPr>
      <w:pStyle w:val="Footer"/>
      <w:tabs>
        <w:tab w:val="clear" w:pos="8640"/>
        <w:tab w:val="right" w:pos="9090"/>
      </w:tabs>
      <w:jc w:val="both"/>
      <w:rPr>
        <w:b/>
        <w:color w:val="auto"/>
        <w:shd w:val="clear" w:color="auto" w:fill="auto"/>
      </w:rPr>
    </w:pPr>
    <w:r>
      <w:rPr>
        <w:b/>
      </w:rPr>
      <w:tab/>
    </w:r>
    <w:r>
      <w:rPr>
        <w:b/>
      </w:rPr>
      <w:tab/>
      <w:t>Oncor Electric Delivery</w:t>
    </w:r>
  </w:p>
  <w:p w:rsidR="00457177" w:rsidP="00740500" w14:paraId="28A780E6" w14:textId="08CD40F6">
    <w:pPr>
      <w:pStyle w:val="Footer"/>
      <w:tabs>
        <w:tab w:val="center" w:pos="1440"/>
        <w:tab w:val="clear" w:pos="4320"/>
        <w:tab w:val="left" w:pos="6030"/>
      </w:tabs>
      <w:jc w:val="right"/>
      <w:rPr>
        <w:b/>
        <w:color w:val="auto"/>
        <w:shd w:val="clear" w:color="auto" w:fill="auto"/>
      </w:rPr>
    </w:pPr>
    <w:r>
      <w:rPr>
        <w:b/>
      </w:rPr>
      <w:t>Sep</w:t>
    </w:r>
    <w:r w:rsidR="00EF4897">
      <w:rPr>
        <w:b/>
      </w:rPr>
      <w:t>t</w:t>
    </w:r>
    <w:r>
      <w:rPr>
        <w:b/>
      </w:rPr>
      <w:t>ember</w:t>
    </w:r>
    <w:r w:rsidR="00EF4897">
      <w:rPr>
        <w:b/>
      </w:rPr>
      <w:t xml:space="preserve"> </w:t>
    </w:r>
    <w:r w:rsidR="00F06864">
      <w:rPr>
        <w:b/>
      </w:rPr>
      <w:t>202</w:t>
    </w:r>
    <w:r w:rsidR="00CB6656">
      <w:rPr>
        <w:b/>
      </w:rPr>
      <w:t>3</w:t>
    </w:r>
    <w:r w:rsidR="00F06864">
      <w:rPr>
        <w:b/>
      </w:rPr>
      <w:t xml:space="preserve"> </w:t>
    </w:r>
    <w:r w:rsidR="001F11BB">
      <w:rPr>
        <w:b/>
      </w:rPr>
      <w:t>DCRF Application</w:t>
    </w:r>
  </w:p>
  <w:p w:rsidR="00A556E3" w14:paraId="3D08C6FB" w14:textId="77777777">
    <w:pPr>
      <w:pStyle w:val="Footer"/>
      <w:jc w:val="center"/>
      <w:rPr>
        <w:rStyle w:val="PageNumber"/>
        <w:color w:val="auto"/>
        <w:shd w:val="clear" w:color="auto" w:fill="auto"/>
      </w:rPr>
    </w:pPr>
    <w:r>
      <w:t>-</w:t>
    </w:r>
    <w:r>
      <w:rPr>
        <w:b/>
      </w:rPr>
      <w:t xml:space="preserve"> </w:t>
    </w:r>
    <w:r>
      <w:rPr>
        <w:rStyle w:val="PageNumber"/>
      </w:rPr>
      <w:fldChar w:fldCharType="begin"/>
    </w:r>
    <w:r>
      <w:rPr>
        <w:rStyle w:val="PageNumber"/>
      </w:rPr>
      <w:instrText xml:space="preserve"> PAGE </w:instrText>
    </w:r>
    <w:r>
      <w:rPr>
        <w:rStyle w:val="PageNumber"/>
      </w:rPr>
      <w:fldChar w:fldCharType="separate"/>
    </w:r>
    <w:r w:rsidR="0096420D">
      <w:rPr>
        <w:rStyle w:val="PageNumber"/>
        <w:noProof/>
      </w:rPr>
      <w:t>2</w:t>
    </w:r>
    <w:r>
      <w:rPr>
        <w:rStyle w:val="PageNumber"/>
      </w:rPr>
      <w:fldChar w:fldCharType="end"/>
    </w:r>
    <w:r>
      <w:rPr>
        <w:rStyle w:val="PageNumber"/>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556E3" w14:paraId="17780760" w14:textId="77777777">
    <w:pPr>
      <w:pStyle w:val="Footer"/>
      <w:rPr>
        <w:color w:val="auto"/>
        <w:shd w:val="clear" w:color="auto" w:fill="auto"/>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556E3" w14:paraId="3E91F4DD" w14:textId="77777777">
    <w:pPr>
      <w:pStyle w:val="Footer"/>
      <w:framePr w:wrap="around" w:vAnchor="text" w:hAnchor="margin" w:xAlign="center" w:y="1"/>
      <w:rPr>
        <w:rStyle w:val="PageNumber"/>
        <w:color w:val="auto"/>
        <w:shd w:val="clear" w:color="auto" w:fill="auto"/>
      </w:rPr>
    </w:pPr>
    <w:r>
      <w:rPr>
        <w:rStyle w:val="PageNumber"/>
      </w:rPr>
      <w:fldChar w:fldCharType="begin"/>
    </w:r>
    <w:r>
      <w:rPr>
        <w:rStyle w:val="PageNumber"/>
      </w:rPr>
      <w:instrText xml:space="preserve">PAGE  </w:instrText>
    </w:r>
    <w:r w:rsidR="00CC51F2">
      <w:rPr>
        <w:rStyle w:val="PageNumber"/>
      </w:rPr>
      <w:fldChar w:fldCharType="separate"/>
    </w:r>
    <w:r>
      <w:rPr>
        <w:rStyle w:val="PageNumber"/>
      </w:rPr>
      <w:fldChar w:fldCharType="end"/>
    </w:r>
  </w:p>
  <w:p w:rsidR="00A556E3" w14:paraId="006BA784" w14:textId="77777777">
    <w:pPr>
      <w:pStyle w:val="Footer"/>
      <w:rPr>
        <w:color w:val="auto"/>
        <w:shd w:val="clear" w:color="auto" w:fill="auto"/>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556E3" w14:paraId="3244A162" w14:textId="77777777">
    <w:pPr>
      <w:pStyle w:val="Footer"/>
      <w:framePr w:wrap="around" w:vAnchor="text" w:hAnchor="margin" w:xAlign="center" w:y="1"/>
      <w:rPr>
        <w:rStyle w:val="PageNumber"/>
        <w:color w:val="auto"/>
        <w:shd w:val="clear" w:color="auto" w:fill="auto"/>
      </w:rPr>
    </w:pPr>
  </w:p>
  <w:p w:rsidR="00A556E3" w:rsidP="00A556E3" w14:paraId="0DEFF283" w14:textId="77777777">
    <w:pPr>
      <w:pStyle w:val="Footer"/>
      <w:tabs>
        <w:tab w:val="clear" w:pos="4320"/>
        <w:tab w:val="center" w:pos="4680"/>
        <w:tab w:val="clear" w:pos="8640"/>
        <w:tab w:val="right" w:pos="9360"/>
      </w:tabs>
      <w:ind w:right="-120"/>
      <w:rPr>
        <w:b/>
        <w:bCs/>
        <w:color w:val="auto"/>
        <w:shd w:val="clear" w:color="auto" w:fill="auto"/>
      </w:rPr>
    </w:pPr>
    <w:r>
      <w:rPr>
        <w:b/>
        <w:bCs/>
      </w:rPr>
      <w:t>_________________________________________________________________</w:t>
    </w:r>
  </w:p>
  <w:p w:rsidR="00CB6656" w:rsidP="00CB6656" w14:paraId="33D90384" w14:textId="77777777">
    <w:pPr>
      <w:pStyle w:val="Footer"/>
      <w:tabs>
        <w:tab w:val="clear" w:pos="4320"/>
        <w:tab w:val="center" w:pos="4680"/>
        <w:tab w:val="left" w:pos="6030"/>
        <w:tab w:val="clear" w:pos="8640"/>
        <w:tab w:val="right" w:pos="9360"/>
      </w:tabs>
      <w:jc w:val="both"/>
      <w:rPr>
        <w:b/>
        <w:color w:val="auto"/>
        <w:shd w:val="clear" w:color="auto" w:fill="auto"/>
      </w:rPr>
    </w:pPr>
    <w:r>
      <w:rPr>
        <w:b/>
        <w:bCs/>
      </w:rPr>
      <w:t xml:space="preserve">PUC Docket No. ______ </w:t>
    </w:r>
    <w:r>
      <w:rPr>
        <w:b/>
        <w:bCs/>
      </w:rPr>
      <w:tab/>
    </w:r>
    <w:r>
      <w:rPr>
        <w:b/>
        <w:bCs/>
      </w:rPr>
      <w:tab/>
    </w:r>
    <w:r>
      <w:rPr>
        <w:b/>
        <w:bCs/>
      </w:rPr>
      <w:tab/>
    </w:r>
    <w:r w:rsidRPr="00CB6656">
      <w:rPr>
        <w:b/>
      </w:rPr>
      <w:t xml:space="preserve">Ledbetter - </w:t>
    </w:r>
    <w:r>
      <w:rPr>
        <w:b/>
      </w:rPr>
      <w:t>Direct</w:t>
    </w:r>
  </w:p>
  <w:p w:rsidR="00CB6656" w:rsidP="00CB6656" w14:paraId="2768BD11" w14:textId="77777777">
    <w:pPr>
      <w:pStyle w:val="Footer"/>
      <w:tabs>
        <w:tab w:val="clear" w:pos="8640"/>
        <w:tab w:val="right" w:pos="9090"/>
      </w:tabs>
      <w:jc w:val="both"/>
      <w:rPr>
        <w:b/>
        <w:color w:val="auto"/>
        <w:shd w:val="clear" w:color="auto" w:fill="auto"/>
      </w:rPr>
    </w:pPr>
    <w:r>
      <w:rPr>
        <w:b/>
      </w:rPr>
      <w:tab/>
    </w:r>
    <w:r>
      <w:rPr>
        <w:b/>
      </w:rPr>
      <w:tab/>
      <w:t>Oncor Electric Delivery</w:t>
    </w:r>
  </w:p>
  <w:p w:rsidR="00CB6656" w:rsidP="001A28D9" w14:paraId="7829F98B" w14:textId="72CDCF26">
    <w:pPr>
      <w:pStyle w:val="Footer"/>
      <w:tabs>
        <w:tab w:val="center" w:pos="2160"/>
        <w:tab w:val="clear" w:pos="4320"/>
      </w:tabs>
      <w:jc w:val="both"/>
      <w:rPr>
        <w:b/>
        <w:color w:val="auto"/>
        <w:shd w:val="clear" w:color="auto" w:fill="auto"/>
      </w:rPr>
    </w:pPr>
    <w:r>
      <w:rPr>
        <w:b/>
      </w:rPr>
      <w:tab/>
    </w:r>
    <w:r>
      <w:rPr>
        <w:b/>
      </w:rPr>
      <w:tab/>
    </w:r>
    <w:r w:rsidR="00883941">
      <w:rPr>
        <w:b/>
      </w:rPr>
      <w:t>September</w:t>
    </w:r>
    <w:r w:rsidR="00D02B8E">
      <w:rPr>
        <w:b/>
      </w:rPr>
      <w:t xml:space="preserve"> </w:t>
    </w:r>
    <w:r>
      <w:rPr>
        <w:b/>
      </w:rPr>
      <w:t>2023 DCRF Application</w:t>
    </w:r>
  </w:p>
  <w:p w:rsidR="00CB6656" w:rsidP="00CB6656" w14:paraId="7B7A6474" w14:textId="77777777">
    <w:pPr>
      <w:pStyle w:val="Footer"/>
      <w:jc w:val="both"/>
      <w:rPr>
        <w:color w:val="auto"/>
        <w:shd w:val="clear" w:color="auto" w:fill="auto"/>
      </w:rPr>
    </w:pPr>
  </w:p>
  <w:p w:rsidR="00A556E3" w14:paraId="4F613FCC" w14:textId="2A5AE11A">
    <w:pPr>
      <w:pStyle w:val="Footer"/>
      <w:jc w:val="center"/>
      <w:rPr>
        <w:rStyle w:val="PageNumber"/>
        <w:color w:val="auto"/>
        <w:shd w:val="clear" w:color="auto" w:fill="auto"/>
      </w:rPr>
    </w:pPr>
    <w:r>
      <w:t>-</w:t>
    </w:r>
    <w:r>
      <w:rPr>
        <w:b/>
      </w:rPr>
      <w:t xml:space="preserve"> </w:t>
    </w:r>
    <w:r>
      <w:rPr>
        <w:rStyle w:val="PageNumber"/>
      </w:rPr>
      <w:fldChar w:fldCharType="begin"/>
    </w:r>
    <w:r>
      <w:rPr>
        <w:rStyle w:val="PageNumber"/>
      </w:rPr>
      <w:instrText xml:space="preserve"> PAGE </w:instrText>
    </w:r>
    <w:r>
      <w:rPr>
        <w:rStyle w:val="PageNumber"/>
      </w:rPr>
      <w:fldChar w:fldCharType="separate"/>
    </w:r>
    <w:r w:rsidR="0096420D">
      <w:rPr>
        <w:rStyle w:val="PageNumber"/>
        <w:noProof/>
      </w:rPr>
      <w:t>3</w:t>
    </w:r>
    <w:r>
      <w:rPr>
        <w:rStyle w:val="PageNumber"/>
      </w:rPr>
      <w:fldChar w:fldCharType="end"/>
    </w:r>
    <w:r>
      <w:rPr>
        <w:rStyle w:val="PageNumber"/>
      </w:rPr>
      <w:t xml:space="preserve"> -</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556E3" w14:paraId="0EA4D033" w14:textId="77777777">
    <w:pPr>
      <w:pStyle w:val="Footer"/>
      <w:rPr>
        <w:color w:val="auto"/>
        <w:shd w:val="clear" w:color="auto" w:fill="auto"/>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A556E3" w14:paraId="47B4606E" w14:textId="77777777">
      <w:r>
        <w:separator/>
      </w:r>
    </w:p>
  </w:footnote>
  <w:footnote w:type="continuationSeparator" w:id="1">
    <w:p w:rsidR="00A556E3" w14:paraId="64DD0311" w14:textId="77777777">
      <w:r>
        <w:continuationSeparator/>
      </w:r>
    </w:p>
  </w:footnote>
  <w:footnote w:id="2">
    <w:p w:rsidR="00036241" w:rsidP="00740500" w14:paraId="501C8ABA" w14:textId="11EBA49E">
      <w:pPr>
        <w:pStyle w:val="FootnoteText"/>
        <w:spacing w:after="120"/>
        <w:ind w:firstLine="720"/>
        <w:jc w:val="both"/>
        <w:rPr>
          <w:color w:val="auto"/>
          <w:shd w:val="clear" w:color="auto" w:fill="auto"/>
        </w:rPr>
      </w:pPr>
      <w:r w:rsidRPr="005E16F2">
        <w:rPr>
          <w:rStyle w:val="FootnoteReference"/>
        </w:rPr>
        <w:footnoteRef/>
      </w:r>
      <w:r w:rsidRPr="00C97993">
        <w:t xml:space="preserve"> </w:t>
      </w:r>
      <w:r w:rsidRPr="000461B5">
        <w:rPr>
          <w:i/>
          <w:iCs/>
        </w:rPr>
        <w:t>Application of Oncor Electric Delivery Company LLC for Authority to Change Rates,</w:t>
      </w:r>
      <w:r w:rsidR="005E16F2">
        <w:t xml:space="preserve"> </w:t>
      </w:r>
      <w:r w:rsidRPr="00C97993">
        <w:t>Docket</w:t>
      </w:r>
      <w:r w:rsidRPr="003B2C4E">
        <w:t xml:space="preserve"> No. 53601, Order</w:t>
      </w:r>
      <w:r w:rsidR="00F15E52">
        <w:t xml:space="preserve"> on Rehearing</w:t>
      </w:r>
      <w:r w:rsidRPr="003B2C4E">
        <w:t xml:space="preserve"> (</w:t>
      </w:r>
      <w:r w:rsidR="00F15E52">
        <w:t>Jun. 30</w:t>
      </w:r>
      <w:r w:rsidRPr="003B2C4E">
        <w:t>, 2023)</w:t>
      </w:r>
      <w:r w:rsidRPr="000461B5">
        <w:rPr>
          <w:i/>
          <w:iCs/>
        </w:rPr>
        <w:t>.</w:t>
      </w:r>
    </w:p>
  </w:footnote>
  <w:footnote w:id="3">
    <w:p w:rsidR="007876A4" w:rsidP="007876A4" w14:paraId="3182DCBA" w14:textId="72813454">
      <w:pPr>
        <w:pStyle w:val="FootnoteText"/>
        <w:ind w:firstLine="720"/>
        <w:jc w:val="both"/>
        <w:rPr>
          <w:color w:val="auto"/>
          <w:shd w:val="clear" w:color="auto" w:fill="auto"/>
        </w:rPr>
      </w:pPr>
      <w:r>
        <w:rPr>
          <w:rStyle w:val="FootnoteReference"/>
        </w:rPr>
        <w:footnoteRef/>
      </w:r>
      <w:r>
        <w:t xml:space="preserve"> </w:t>
      </w:r>
      <w:r w:rsidRPr="007876A4">
        <w:rPr>
          <w:i/>
          <w:iCs/>
        </w:rPr>
        <w:t>Application of Oncor Electric Delivery Company LLC for Approval to Amend its Distribution Cost Recovery Factor and Update Mobile Generation Riders</w:t>
      </w:r>
      <w:r>
        <w:t>, Docket No. 55190 (Jun. 29, 2023).</w:t>
      </w:r>
    </w:p>
  </w:footnote>
  <w:footnote w:id="4">
    <w:p w:rsidR="008A7454" w:rsidP="008A7454" w14:paraId="424C4420" w14:textId="01E6613F">
      <w:pPr>
        <w:pStyle w:val="FootnoteText"/>
        <w:ind w:firstLine="720"/>
        <w:rPr>
          <w:color w:val="auto"/>
          <w:shd w:val="clear" w:color="auto" w:fill="auto"/>
        </w:rPr>
      </w:pPr>
      <w:r>
        <w:rPr>
          <w:rStyle w:val="FootnoteReference"/>
        </w:rPr>
        <w:footnoteRef/>
      </w:r>
      <w:r>
        <w:t xml:space="preserve"> Senate Bill 1015 (Texas 88</w:t>
      </w:r>
      <w:r w:rsidRPr="008A7454">
        <w:rPr>
          <w:vertAlign w:val="superscript"/>
        </w:rPr>
        <w:t>th</w:t>
      </w:r>
      <w:r>
        <w:t xml:space="preserve"> Leg. R.S.).</w:t>
      </w:r>
    </w:p>
  </w:footnote>
  <w:footnote w:id="5">
    <w:p w:rsidR="00A76D54" w:rsidP="00A76D54" w14:paraId="44BF374F" w14:textId="6EBED508">
      <w:pPr>
        <w:pStyle w:val="FootnoteText"/>
        <w:ind w:firstLine="720"/>
        <w:jc w:val="both"/>
        <w:rPr>
          <w:color w:val="auto"/>
          <w:shd w:val="clear" w:color="auto" w:fill="auto"/>
        </w:rPr>
      </w:pPr>
      <w:r>
        <w:rPr>
          <w:rStyle w:val="FootnoteReference"/>
        </w:rPr>
        <w:footnoteRef/>
      </w:r>
      <w:r>
        <w:t xml:space="preserve"> </w:t>
      </w:r>
      <w:r w:rsidRPr="009511F4">
        <w:rPr>
          <w:i/>
          <w:iCs/>
        </w:rPr>
        <w:t xml:space="preserve">Order Adopting New </w:t>
      </w:r>
      <w:r w:rsidRPr="009511F4">
        <w:rPr>
          <w:rFonts w:eastAsiaTheme="minorHAnsi" w:cs="Arial"/>
          <w:i/>
          <w:iCs/>
          <w:szCs w:val="24"/>
        </w:rPr>
        <w:t>§25.243 As Approved at the September 15, 2011 Open Meeting</w:t>
      </w:r>
      <w:r>
        <w:rPr>
          <w:rFonts w:eastAsiaTheme="minorHAnsi" w:cs="Arial"/>
          <w:szCs w:val="24"/>
        </w:rPr>
        <w:t>, Project No. 39465 – Rulemaking Related to Periodic Rate Adjustments at 33.</w:t>
      </w:r>
    </w:p>
  </w:footnote>
  <w:footnote w:id="6">
    <w:p w:rsidR="00723186" w:rsidP="00723186" w14:paraId="0AAE934F" w14:textId="084DDBE0">
      <w:pPr>
        <w:pStyle w:val="FootnoteText"/>
        <w:ind w:firstLine="720"/>
        <w:rPr>
          <w:color w:val="auto"/>
          <w:shd w:val="clear" w:color="auto" w:fill="auto"/>
        </w:rPr>
      </w:pPr>
      <w:r>
        <w:rPr>
          <w:rStyle w:val="FootnoteReference"/>
        </w:rPr>
        <w:footnoteRef/>
      </w:r>
      <w:r>
        <w:t xml:space="preserve"> </w:t>
      </w:r>
      <w:r w:rsidRPr="00723186">
        <w:rPr>
          <w:i/>
          <w:iCs/>
        </w:rPr>
        <w:t>Id.</w:t>
      </w:r>
    </w:p>
  </w:footnote>
  <w:footnote w:id="7">
    <w:p w:rsidR="00F15E52" w:rsidP="00CE5318" w14:paraId="4BC98C28" w14:textId="7AE4840D">
      <w:pPr>
        <w:pStyle w:val="FootnoteText"/>
        <w:ind w:firstLine="720"/>
        <w:jc w:val="both"/>
        <w:rPr>
          <w:color w:val="auto"/>
          <w:shd w:val="clear" w:color="auto" w:fill="auto"/>
        </w:rPr>
      </w:pPr>
      <w:r>
        <w:rPr>
          <w:rStyle w:val="FootnoteReference"/>
        </w:rPr>
        <w:footnoteRef/>
      </w:r>
      <w:r>
        <w:t xml:space="preserve"> </w:t>
      </w:r>
      <w:r w:rsidRPr="00CE5318">
        <w:rPr>
          <w:i/>
          <w:iCs/>
        </w:rPr>
        <w:t>Application of Oncor Electric Delivery Company LLC for Authority to Change Rates</w:t>
      </w:r>
      <w:r>
        <w:t>, Docket No. 53601, Order on Rehearing, Finding of Fact</w:t>
      </w:r>
      <w:r w:rsidR="00CE5318">
        <w:t xml:space="preserve"> No. 369 (Jun. 30, 2023).</w:t>
      </w:r>
    </w:p>
  </w:footnote>
  <w:footnote w:id="8">
    <w:p w:rsidR="00A10AFE" w:rsidP="00D91B3D" w14:paraId="5A793159" w14:textId="7743BFAA">
      <w:pPr>
        <w:pStyle w:val="FootnoteText"/>
        <w:spacing w:after="120"/>
        <w:ind w:firstLine="720"/>
        <w:jc w:val="both"/>
        <w:rPr>
          <w:color w:val="auto"/>
          <w:shd w:val="clear" w:color="auto" w:fill="auto"/>
        </w:rPr>
      </w:pPr>
      <w:r>
        <w:rPr>
          <w:rStyle w:val="FootnoteReference"/>
        </w:rPr>
        <w:footnoteRef/>
      </w:r>
      <w:r>
        <w:t xml:space="preserve"> </w:t>
      </w:r>
      <w:r w:rsidR="00D91B3D">
        <w:rPr>
          <w:i/>
          <w:iCs/>
        </w:rPr>
        <w:t xml:space="preserve">Application of Oncor Electric Delivery Company LLC for Authority to Change Rates, </w:t>
      </w:r>
      <w:r w:rsidRPr="00D91B3D" w:rsidR="00D91B3D">
        <w:t>Docket No. 53601, Order</w:t>
      </w:r>
      <w:r w:rsidR="00CE5318">
        <w:t xml:space="preserve"> on Rehearing</w:t>
      </w:r>
      <w:r w:rsidR="00D61A81">
        <w:t>,</w:t>
      </w:r>
      <w:r w:rsidRPr="00D91B3D" w:rsidR="00D91B3D">
        <w:t xml:space="preserve"> </w:t>
      </w:r>
      <w:r w:rsidR="00553F8C">
        <w:t>Finding of Fact No. 190</w:t>
      </w:r>
      <w:r w:rsidR="00D61A81">
        <w:t xml:space="preserve"> (</w:t>
      </w:r>
      <w:r w:rsidR="00CE5318">
        <w:t>Jun. 30</w:t>
      </w:r>
      <w:r w:rsidR="00D61A81">
        <w:t>, 2023).</w:t>
      </w:r>
    </w:p>
  </w:footnote>
  <w:footnote w:id="9">
    <w:p w:rsidR="00EF195B" w:rsidP="00740500" w14:paraId="2867F267" w14:textId="35C680EE">
      <w:pPr>
        <w:pStyle w:val="FootnoteText"/>
        <w:spacing w:after="120"/>
        <w:ind w:firstLine="720"/>
        <w:jc w:val="both"/>
        <w:rPr>
          <w:color w:val="auto"/>
          <w:shd w:val="clear" w:color="auto" w:fill="auto"/>
        </w:rPr>
      </w:pPr>
      <w:r>
        <w:rPr>
          <w:rStyle w:val="FootnoteReference"/>
        </w:rPr>
        <w:footnoteRef/>
      </w:r>
      <w:r>
        <w:t xml:space="preserve"> </w:t>
      </w:r>
      <w:r w:rsidRPr="00EF195B">
        <w:rPr>
          <w:i/>
          <w:iCs/>
        </w:rPr>
        <w:t>Application of Oncor Electric Delivery Company LLC for Approval to Amend Its Distribution Cost Recovery Factor</w:t>
      </w:r>
      <w:r w:rsidRPr="003B2C4E">
        <w:t xml:space="preserve">, Docket No. 51996, Order, </w:t>
      </w:r>
      <w:r>
        <w:t>Finding of Fact No. 21</w:t>
      </w:r>
      <w:r w:rsidR="00B253A8">
        <w:t xml:space="preserve"> (Jul. 30, 2021)</w:t>
      </w:r>
      <w:r>
        <w:t>.</w:t>
      </w:r>
    </w:p>
  </w:footnote>
  <w:footnote w:id="10">
    <w:p w:rsidR="00413DD8" w:rsidP="00740500" w14:paraId="10E88C0C" w14:textId="7BCDF546">
      <w:pPr>
        <w:pStyle w:val="FootnoteText"/>
        <w:spacing w:after="120"/>
        <w:ind w:firstLine="720"/>
        <w:jc w:val="both"/>
        <w:rPr>
          <w:color w:val="auto"/>
          <w:shd w:val="clear" w:color="auto" w:fill="auto"/>
        </w:rPr>
      </w:pPr>
      <w:r>
        <w:rPr>
          <w:rStyle w:val="FootnoteReference"/>
        </w:rPr>
        <w:footnoteRef/>
      </w:r>
      <w:r>
        <w:t xml:space="preserve"> Oncor also uses FERC USOA no. 374 to identify non-depreciable land owned in fee.</w:t>
      </w:r>
    </w:p>
  </w:footnote>
  <w:footnote w:id="11">
    <w:p w:rsidR="00490124" w:rsidP="00740500" w14:paraId="11D320B8" w14:textId="416321BE">
      <w:pPr>
        <w:pStyle w:val="FootnoteText"/>
        <w:spacing w:after="120"/>
        <w:ind w:firstLine="720"/>
        <w:jc w:val="both"/>
        <w:rPr>
          <w:color w:val="auto"/>
          <w:shd w:val="clear" w:color="auto" w:fill="auto"/>
        </w:rPr>
      </w:pPr>
      <w:r>
        <w:rPr>
          <w:rStyle w:val="FootnoteReference"/>
        </w:rPr>
        <w:footnoteRef/>
      </w:r>
      <w:r>
        <w:t xml:space="preserve"> </w:t>
      </w:r>
      <w:r w:rsidR="007D0DC0">
        <w:rPr>
          <w:rFonts w:cs="Arial"/>
        </w:rPr>
        <w:t>As a result, s</w:t>
      </w:r>
      <w:r w:rsidRPr="00B340F5">
        <w:rPr>
          <w:rFonts w:cs="Arial"/>
        </w:rPr>
        <w:t xml:space="preserve">uch transmission-related costs recorded in FERC USOA Distribution Plant account numbers 361 and 362 are </w:t>
      </w:r>
      <w:r w:rsidR="007D0DC0">
        <w:rPr>
          <w:rFonts w:cs="Arial"/>
        </w:rPr>
        <w:t xml:space="preserve">appropriately </w:t>
      </w:r>
      <w:r w:rsidRPr="00B340F5">
        <w:rPr>
          <w:rFonts w:cs="Arial"/>
        </w:rPr>
        <w:t xml:space="preserve">reflected in the Company’s interim </w:t>
      </w:r>
      <w:r>
        <w:rPr>
          <w:rFonts w:cs="Arial"/>
        </w:rPr>
        <w:t>TC</w:t>
      </w:r>
      <w:r w:rsidRPr="00B340F5">
        <w:rPr>
          <w:rFonts w:cs="Arial"/>
        </w:rPr>
        <w:t>OS updates.</w:t>
      </w:r>
    </w:p>
  </w:footnote>
  <w:footnote w:id="12">
    <w:p w:rsidR="00891FDC" w:rsidP="00740500" w14:paraId="0749E934" w14:textId="0174EC50">
      <w:pPr>
        <w:pStyle w:val="FootnoteText"/>
        <w:spacing w:after="120"/>
        <w:ind w:firstLine="720"/>
        <w:jc w:val="both"/>
        <w:rPr>
          <w:color w:val="auto"/>
          <w:shd w:val="clear" w:color="auto" w:fill="auto"/>
        </w:rPr>
      </w:pPr>
      <w:r>
        <w:rPr>
          <w:rStyle w:val="FootnoteReference"/>
        </w:rPr>
        <w:footnoteRef/>
      </w:r>
      <w:r>
        <w:t xml:space="preserve"> </w:t>
      </w:r>
      <w:r w:rsidR="000F660C">
        <w:t xml:space="preserve">Reflects </w:t>
      </w:r>
      <w:r>
        <w:t xml:space="preserve">the effects of the disallowances in the Docket No. 53601 </w:t>
      </w:r>
      <w:r w:rsidR="00862FE9">
        <w:t>Order</w:t>
      </w:r>
      <w:r w:rsidR="00CE5318">
        <w:t xml:space="preserve"> on Rehearing</w:t>
      </w:r>
      <w:r w:rsidR="00862FE9">
        <w:t xml:space="preserve"> </w:t>
      </w:r>
      <w:r>
        <w:t>related to capitalized compensation</w:t>
      </w:r>
      <w:r w:rsidR="000F660C">
        <w:t xml:space="preserve"> and benefit costs.</w:t>
      </w:r>
    </w:p>
  </w:footnote>
  <w:footnote w:id="13">
    <w:p w:rsidR="00DA7C09" w:rsidP="00740500" w14:paraId="13F1E589" w14:textId="038C4B16">
      <w:pPr>
        <w:pStyle w:val="FootnoteText"/>
        <w:spacing w:after="120"/>
        <w:ind w:firstLine="720"/>
        <w:jc w:val="both"/>
        <w:rPr>
          <w:color w:val="auto"/>
          <w:shd w:val="clear" w:color="auto" w:fill="auto"/>
        </w:rPr>
      </w:pPr>
      <w:r>
        <w:rPr>
          <w:rStyle w:val="FootnoteReference"/>
        </w:rPr>
        <w:footnoteRef/>
      </w:r>
      <w:r>
        <w:t xml:space="preserve"> </w:t>
      </w:r>
      <w:r w:rsidRPr="00DA7C09">
        <w:rPr>
          <w:i/>
          <w:iCs/>
        </w:rPr>
        <w:t>Application of Oncor Electric Delivery Company LLC for Authority to Change Rates</w:t>
      </w:r>
      <w:r>
        <w:t>, Docket No. 53601, Order</w:t>
      </w:r>
      <w:r w:rsidR="00883941">
        <w:t xml:space="preserve"> on Rehearing</w:t>
      </w:r>
      <w:r>
        <w:t xml:space="preserve">, Finding of Fact </w:t>
      </w:r>
      <w:r w:rsidR="003B2C4E">
        <w:t>N</w:t>
      </w:r>
      <w:r>
        <w:t>os. 136, 181, 182, and 183</w:t>
      </w:r>
      <w:r w:rsidR="00030A84">
        <w:t xml:space="preserve"> (</w:t>
      </w:r>
      <w:r w:rsidR="00883941">
        <w:t>Jun. 30</w:t>
      </w:r>
      <w:r w:rsidR="00030A84">
        <w:t>, 2023)</w:t>
      </w:r>
      <w:r>
        <w:t>.</w:t>
      </w:r>
    </w:p>
  </w:footnote>
  <w:footnote w:id="14">
    <w:p w:rsidR="00030A84" w:rsidP="00740500" w14:paraId="1CBAB74B" w14:textId="7B0819F1">
      <w:pPr>
        <w:pStyle w:val="FootnoteText"/>
        <w:spacing w:after="120"/>
        <w:ind w:firstLine="720"/>
        <w:jc w:val="both"/>
        <w:rPr>
          <w:color w:val="auto"/>
          <w:shd w:val="clear" w:color="auto" w:fill="auto"/>
        </w:rPr>
      </w:pPr>
      <w:r>
        <w:rPr>
          <w:rStyle w:val="FootnoteReference"/>
        </w:rPr>
        <w:footnoteRef/>
      </w:r>
      <w:r>
        <w:t xml:space="preserve"> The time period of 2017 through 2021 reflects the period of time after the end of the 2016 test year in the Company’s prior base-rate case, Docket No. 46957, and the end of the 2021 test year in the most recent base-rate case, Docket No. 53601.</w:t>
      </w:r>
    </w:p>
  </w:footnote>
  <w:footnote w:id="15">
    <w:p w:rsidR="00C55C77" w:rsidP="00740500" w14:paraId="61580395" w14:textId="2B5D3C26">
      <w:pPr>
        <w:pStyle w:val="FootnoteText"/>
        <w:spacing w:after="120"/>
        <w:ind w:firstLine="720"/>
        <w:jc w:val="both"/>
        <w:rPr>
          <w:color w:val="auto"/>
          <w:shd w:val="clear" w:color="auto" w:fill="auto"/>
        </w:rPr>
      </w:pPr>
      <w:r>
        <w:rPr>
          <w:rStyle w:val="FootnoteReference"/>
        </w:rPr>
        <w:footnoteRef/>
      </w:r>
      <w:r>
        <w:t xml:space="preserve"> This amount excludes the amortization rate for certain investment in intangible information technology systems reflected in the Order approving Oncor’s 2021 application to amend its DCRF in Docket No. 51996.</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22316C4"/>
    <w:multiLevelType w:val="hybridMultilevel"/>
    <w:tmpl w:val="E0DC076C"/>
    <w:lvl w:ilvl="0">
      <w:start w:val="1"/>
      <w:numFmt w:val="upperRoman"/>
      <w:lvlText w:val="%1."/>
      <w:lvlJc w:val="left"/>
      <w:pPr>
        <w:ind w:left="1440" w:hanging="72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1">
    <w:nsid w:val="02E96673"/>
    <w:multiLevelType w:val="multilevel"/>
    <w:tmpl w:val="3FCCD0BC"/>
    <w:lvl w:ilvl="0">
      <w:start w:val="1"/>
      <w:numFmt w:val="upperRoman"/>
      <w:suff w:val="space"/>
      <w:lvlText w:val="%1. "/>
      <w:lvlJc w:val="left"/>
      <w:pPr>
        <w:ind w:left="0" w:firstLine="0"/>
      </w:pPr>
      <w:rPr>
        <w:rFonts w:ascii="Helvetica" w:hAnsi="Helvetica" w:cs="Arial" w:hint="default"/>
        <w:b/>
        <w:i w:val="0"/>
        <w:caps w:val="0"/>
        <w:strike w:val="0"/>
        <w:dstrike w:val="0"/>
        <w:vanish w:val="0"/>
        <w:color w:val="auto"/>
        <w:sz w:val="24"/>
        <w:u w:val="single"/>
        <w:effect w:val="none"/>
        <w:vertAlign w:val="baseline"/>
        <w14:shadow w14:blurRad="0" w14:dist="0" w14:dir="0" w14:sx="0" w14:sy="0" w14:kx="0" w14:ky="0" w14:algn="none">
          <w14:srgbClr w14:val="000000"/>
        </w14:shadow>
        <w14:textOutline w14:cap="rnd">
          <w14:noFill/>
          <w14:bevel/>
        </w14:textOutline>
      </w:rPr>
    </w:lvl>
    <w:lvl w:ilvl="1">
      <w:start w:val="1"/>
      <w:numFmt w:val="upperLetter"/>
      <w:lvlText w:val="%2."/>
      <w:lvlJc w:val="left"/>
      <w:pPr>
        <w:tabs>
          <w:tab w:val="num" w:pos="-840"/>
        </w:tabs>
        <w:ind w:left="2880" w:hanging="360"/>
      </w:pPr>
      <w:rPr>
        <w:rFonts w:ascii="Helvetica" w:hAnsi="Helvetica" w:cs="Arial" w:hint="default"/>
        <w:b/>
        <w:i w:val="0"/>
        <w:caps w:val="0"/>
        <w:strike w:val="0"/>
        <w:dstrike w:val="0"/>
        <w:vanish w:val="0"/>
        <w:color w:val="auto"/>
        <w:sz w:val="24"/>
        <w:u w:val="none"/>
        <w:effect w:val="none"/>
        <w:vertAlign w:val="baseline"/>
        <w14:shadow w14:blurRad="0" w14:dist="0" w14:dir="0" w14:sx="0" w14:sy="0" w14:kx="0" w14:ky="0" w14:algn="none">
          <w14:srgbClr w14:val="000000"/>
        </w14:shadow>
        <w14:textOutline w14:cap="rnd">
          <w14:noFill/>
          <w14:bevel/>
        </w14:textOutline>
      </w:rPr>
    </w:lvl>
    <w:lvl w:ilvl="2">
      <w:start w:val="1"/>
      <w:numFmt w:val="decimal"/>
      <w:lvlRestart w:val="0"/>
      <w:lvlText w:val="%3."/>
      <w:lvlJc w:val="left"/>
      <w:pPr>
        <w:tabs>
          <w:tab w:val="num" w:pos="-840"/>
        </w:tabs>
        <w:ind w:left="1320" w:hanging="720"/>
      </w:pPr>
      <w:rPr>
        <w:rFonts w:ascii="Arial" w:hAnsi="Arial" w:cs="Arial" w:hint="default"/>
        <w:b/>
        <w:i w:val="0"/>
        <w:caps w:val="0"/>
        <w:strike w:val="0"/>
        <w:dstrike w:val="0"/>
        <w:vanish w:val="0"/>
        <w:color w:val="auto"/>
        <w:sz w:val="24"/>
        <w:u w:val="none"/>
        <w:effect w:val="none"/>
        <w:vertAlign w:val="baseline"/>
        <w14:shadow w14:blurRad="0" w14:dist="0" w14:dir="0" w14:sx="0" w14:sy="0" w14:kx="0" w14:ky="0" w14:algn="none">
          <w14:srgbClr w14:val="000000"/>
        </w14:shadow>
        <w14:textOutline w14:cap="rnd">
          <w14:noFill/>
          <w14:bevel/>
        </w14:textOutline>
      </w:rPr>
    </w:lvl>
    <w:lvl w:ilvl="3">
      <w:start w:val="1"/>
      <w:numFmt w:val="none"/>
      <w:suff w:val="nothing"/>
      <w:lvlText w:val="  "/>
      <w:lvlJc w:val="left"/>
      <w:pPr>
        <w:ind w:left="-840" w:firstLine="0"/>
      </w:pPr>
      <w:rPr>
        <w:rFonts w:ascii="Times New Roman" w:hAnsi="Times New Roman" w:cs="Times New Roman" w:hint="default"/>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cap="rnd">
          <w14:noFill/>
          <w14:bevel/>
        </w14:textOutline>
      </w:rPr>
    </w:lvl>
    <w:lvl w:ilvl="4">
      <w:start w:val="1"/>
      <w:numFmt w:val="none"/>
      <w:suff w:val="nothing"/>
      <w:lvlText w:val="  "/>
      <w:lvlJc w:val="left"/>
      <w:pPr>
        <w:ind w:left="-840" w:firstLine="0"/>
      </w:pPr>
      <w:rPr>
        <w:rFonts w:ascii="Times New Roman" w:hAnsi="Times New Roman" w:cs="Times New Roman" w:hint="default"/>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cap="rnd">
          <w14:noFill/>
          <w14:bevel/>
        </w14:textOutline>
      </w:rPr>
    </w:lvl>
    <w:lvl w:ilvl="5">
      <w:start w:val="1"/>
      <w:numFmt w:val="none"/>
      <w:suff w:val="nothing"/>
      <w:lvlText w:val="  "/>
      <w:lvlJc w:val="left"/>
      <w:pPr>
        <w:ind w:left="-840" w:firstLine="0"/>
      </w:pPr>
      <w:rPr>
        <w:rFonts w:ascii="Times New Roman" w:hAnsi="Times New Roman" w:cs="Times New Roman" w:hint="default"/>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cap="rnd">
          <w14:noFill/>
          <w14:bevel/>
        </w14:textOutline>
      </w:rPr>
    </w:lvl>
    <w:lvl w:ilvl="6">
      <w:start w:val="1"/>
      <w:numFmt w:val="none"/>
      <w:suff w:val="nothing"/>
      <w:lvlText w:val="  "/>
      <w:lvlJc w:val="left"/>
      <w:pPr>
        <w:ind w:left="-840" w:firstLine="0"/>
      </w:pPr>
      <w:rPr>
        <w:rFonts w:ascii="Times New Roman" w:hAnsi="Times New Roman" w:cs="Times New Roman" w:hint="default"/>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cap="rnd">
          <w14:noFill/>
          <w14:bevel/>
        </w14:textOutline>
      </w:rPr>
    </w:lvl>
    <w:lvl w:ilvl="7">
      <w:start w:val="1"/>
      <w:numFmt w:val="none"/>
      <w:suff w:val="nothing"/>
      <w:lvlText w:val="  "/>
      <w:lvlJc w:val="left"/>
      <w:pPr>
        <w:ind w:left="-840" w:firstLine="0"/>
      </w:pPr>
      <w:rPr>
        <w:rFonts w:ascii="Times New Roman" w:hAnsi="Times New Roman" w:cs="Times New Roman" w:hint="default"/>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cap="rnd">
          <w14:noFill/>
          <w14:bevel/>
        </w14:textOutline>
      </w:rPr>
    </w:lvl>
    <w:lvl w:ilvl="8">
      <w:start w:val="1"/>
      <w:numFmt w:val="none"/>
      <w:suff w:val="nothing"/>
      <w:lvlText w:val="  "/>
      <w:lvlJc w:val="left"/>
      <w:pPr>
        <w:ind w:left="-840" w:firstLine="0"/>
      </w:pPr>
      <w:rPr>
        <w:rFonts w:ascii="Times New Roman" w:hAnsi="Times New Roman" w:cs="Times New Roman" w:hint="default"/>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cap="rnd">
          <w14:noFill/>
          <w14:bevel/>
        </w14:textOutline>
      </w:rPr>
    </w:lvl>
  </w:abstractNum>
  <w:abstractNum w:abstractNumId="2">
    <w:nsid w:val="037843CB"/>
    <w:multiLevelType w:val="multilevel"/>
    <w:tmpl w:val="B4E68D52"/>
    <w:lvl w:ilvl="0">
      <w:start w:val="1"/>
      <w:numFmt w:val="upperRoman"/>
      <w:suff w:val="nothing"/>
      <w:lvlText w:val="%1."/>
      <w:lvlJc w:val="left"/>
      <w:pPr>
        <w:ind w:left="0" w:firstLine="0"/>
      </w:pPr>
      <w:rPr>
        <w:rFonts w:ascii="Helvetica" w:hAnsi="Helvetica" w:cs="Arial" w:hint="default"/>
        <w:b/>
        <w:i w:val="0"/>
        <w:caps w:val="0"/>
        <w:strike w:val="0"/>
        <w:dstrike w:val="0"/>
        <w:vanish w:val="0"/>
        <w:color w:val="auto"/>
        <w:sz w:val="24"/>
        <w:u w:val="single"/>
        <w:effect w:val="none"/>
        <w:vertAlign w:val="baseline"/>
        <w14:shadow w14:blurRad="0" w14:dist="0" w14:dir="0" w14:sx="0" w14:sy="0" w14:kx="0" w14:ky="0" w14:algn="none">
          <w14:srgbClr w14:val="000000"/>
        </w14:shadow>
        <w14:textOutline w14:cap="rnd">
          <w14:noFill/>
          <w14:bevel/>
        </w14:textOutline>
      </w:rPr>
    </w:lvl>
    <w:lvl w:ilvl="1">
      <w:start w:val="1"/>
      <w:numFmt w:val="upperLetter"/>
      <w:lvlText w:val="%2."/>
      <w:lvlJc w:val="left"/>
      <w:pPr>
        <w:tabs>
          <w:tab w:val="num" w:pos="-840"/>
        </w:tabs>
        <w:ind w:left="2880" w:hanging="360"/>
      </w:pPr>
      <w:rPr>
        <w:rFonts w:ascii="Helvetica" w:hAnsi="Helvetica" w:cs="Arial" w:hint="default"/>
        <w:b/>
        <w:i w:val="0"/>
        <w:caps w:val="0"/>
        <w:strike w:val="0"/>
        <w:dstrike w:val="0"/>
        <w:vanish w:val="0"/>
        <w:color w:val="auto"/>
        <w:sz w:val="24"/>
        <w:u w:val="none"/>
        <w:effect w:val="none"/>
        <w:vertAlign w:val="baseline"/>
        <w14:shadow w14:blurRad="0" w14:dist="0" w14:dir="0" w14:sx="0" w14:sy="0" w14:kx="0" w14:ky="0" w14:algn="none">
          <w14:srgbClr w14:val="000000"/>
        </w14:shadow>
        <w14:textOutline w14:cap="rnd">
          <w14:noFill/>
          <w14:bevel/>
        </w14:textOutline>
      </w:rPr>
    </w:lvl>
    <w:lvl w:ilvl="2">
      <w:start w:val="1"/>
      <w:numFmt w:val="decimal"/>
      <w:lvlRestart w:val="0"/>
      <w:lvlText w:val="%3."/>
      <w:lvlJc w:val="left"/>
      <w:pPr>
        <w:tabs>
          <w:tab w:val="num" w:pos="-840"/>
        </w:tabs>
        <w:ind w:left="1320" w:hanging="720"/>
      </w:pPr>
      <w:rPr>
        <w:rFonts w:ascii="Arial" w:hAnsi="Arial" w:cs="Arial" w:hint="default"/>
        <w:b/>
        <w:i w:val="0"/>
        <w:caps w:val="0"/>
        <w:strike w:val="0"/>
        <w:dstrike w:val="0"/>
        <w:vanish w:val="0"/>
        <w:color w:val="auto"/>
        <w:sz w:val="24"/>
        <w:u w:val="none"/>
        <w:effect w:val="none"/>
        <w:vertAlign w:val="baseline"/>
        <w14:shadow w14:blurRad="0" w14:dist="0" w14:dir="0" w14:sx="0" w14:sy="0" w14:kx="0" w14:ky="0" w14:algn="none">
          <w14:srgbClr w14:val="000000"/>
        </w14:shadow>
        <w14:textOutline w14:cap="rnd">
          <w14:noFill/>
          <w14:bevel/>
        </w14:textOutline>
      </w:rPr>
    </w:lvl>
    <w:lvl w:ilvl="3">
      <w:start w:val="1"/>
      <w:numFmt w:val="none"/>
      <w:suff w:val="nothing"/>
      <w:lvlText w:val="  "/>
      <w:lvlJc w:val="left"/>
      <w:pPr>
        <w:ind w:left="-840" w:firstLine="0"/>
      </w:pPr>
      <w:rPr>
        <w:rFonts w:ascii="Times New Roman" w:hAnsi="Times New Roman" w:cs="Times New Roman" w:hint="default"/>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cap="rnd">
          <w14:noFill/>
          <w14:bevel/>
        </w14:textOutline>
      </w:rPr>
    </w:lvl>
    <w:lvl w:ilvl="4">
      <w:start w:val="1"/>
      <w:numFmt w:val="none"/>
      <w:suff w:val="nothing"/>
      <w:lvlText w:val="  "/>
      <w:lvlJc w:val="left"/>
      <w:pPr>
        <w:ind w:left="-840" w:firstLine="0"/>
      </w:pPr>
      <w:rPr>
        <w:rFonts w:ascii="Times New Roman" w:hAnsi="Times New Roman" w:cs="Times New Roman" w:hint="default"/>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cap="rnd">
          <w14:noFill/>
          <w14:bevel/>
        </w14:textOutline>
      </w:rPr>
    </w:lvl>
    <w:lvl w:ilvl="5">
      <w:start w:val="1"/>
      <w:numFmt w:val="none"/>
      <w:suff w:val="nothing"/>
      <w:lvlText w:val="  "/>
      <w:lvlJc w:val="left"/>
      <w:pPr>
        <w:ind w:left="-840" w:firstLine="0"/>
      </w:pPr>
      <w:rPr>
        <w:rFonts w:ascii="Times New Roman" w:hAnsi="Times New Roman" w:cs="Times New Roman" w:hint="default"/>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cap="rnd">
          <w14:noFill/>
          <w14:bevel/>
        </w14:textOutline>
      </w:rPr>
    </w:lvl>
    <w:lvl w:ilvl="6">
      <w:start w:val="1"/>
      <w:numFmt w:val="none"/>
      <w:suff w:val="nothing"/>
      <w:lvlText w:val="  "/>
      <w:lvlJc w:val="left"/>
      <w:pPr>
        <w:ind w:left="-840" w:firstLine="0"/>
      </w:pPr>
      <w:rPr>
        <w:rFonts w:ascii="Times New Roman" w:hAnsi="Times New Roman" w:cs="Times New Roman" w:hint="default"/>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cap="rnd">
          <w14:noFill/>
          <w14:bevel/>
        </w14:textOutline>
      </w:rPr>
    </w:lvl>
    <w:lvl w:ilvl="7">
      <w:start w:val="1"/>
      <w:numFmt w:val="none"/>
      <w:suff w:val="nothing"/>
      <w:lvlText w:val="  "/>
      <w:lvlJc w:val="left"/>
      <w:pPr>
        <w:ind w:left="-840" w:firstLine="0"/>
      </w:pPr>
      <w:rPr>
        <w:rFonts w:ascii="Times New Roman" w:hAnsi="Times New Roman" w:cs="Times New Roman" w:hint="default"/>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cap="rnd">
          <w14:noFill/>
          <w14:bevel/>
        </w14:textOutline>
      </w:rPr>
    </w:lvl>
    <w:lvl w:ilvl="8">
      <w:start w:val="1"/>
      <w:numFmt w:val="none"/>
      <w:suff w:val="nothing"/>
      <w:lvlText w:val="  "/>
      <w:lvlJc w:val="left"/>
      <w:pPr>
        <w:ind w:left="-840" w:firstLine="0"/>
      </w:pPr>
      <w:rPr>
        <w:rFonts w:ascii="Times New Roman" w:hAnsi="Times New Roman" w:cs="Times New Roman" w:hint="default"/>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cap="rnd">
          <w14:noFill/>
          <w14:bevel/>
        </w14:textOutline>
      </w:rPr>
    </w:lvl>
  </w:abstractNum>
  <w:abstractNum w:abstractNumId="3">
    <w:nsid w:val="05B5323A"/>
    <w:multiLevelType w:val="hybridMultilevel"/>
    <w:tmpl w:val="C680C778"/>
    <w:lvl w:ilvl="0">
      <w:start w:val="1"/>
      <w:numFmt w:val="bullet"/>
      <w:lvlText w:val=""/>
      <w:lvlJc w:val="left"/>
      <w:pPr>
        <w:tabs>
          <w:tab w:val="num" w:pos="840"/>
        </w:tabs>
        <w:ind w:left="840" w:hanging="360"/>
      </w:pPr>
      <w:rPr>
        <w:rFonts w:ascii="Symbol" w:hAnsi="Symbol" w:hint="default"/>
      </w:rPr>
    </w:lvl>
    <w:lvl w:ilvl="1">
      <w:start w:val="1"/>
      <w:numFmt w:val="bullet"/>
      <w:lvlText w:val="o"/>
      <w:lvlJc w:val="left"/>
      <w:pPr>
        <w:tabs>
          <w:tab w:val="num" w:pos="1560"/>
        </w:tabs>
        <w:ind w:left="1560" w:hanging="360"/>
      </w:pPr>
      <w:rPr>
        <w:rFonts w:ascii="Courier New" w:hAnsi="Courier New" w:cs="Courier New" w:hint="default"/>
      </w:rPr>
    </w:lvl>
    <w:lvl w:ilvl="2">
      <w:start w:val="1"/>
      <w:numFmt w:val="bullet"/>
      <w:lvlText w:val=""/>
      <w:lvlJc w:val="left"/>
      <w:pPr>
        <w:tabs>
          <w:tab w:val="num" w:pos="2280"/>
        </w:tabs>
        <w:ind w:left="2280" w:hanging="360"/>
      </w:pPr>
      <w:rPr>
        <w:rFonts w:ascii="Wingdings" w:hAnsi="Wingdings" w:hint="default"/>
      </w:rPr>
    </w:lvl>
    <w:lvl w:ilvl="3">
      <w:start w:val="1"/>
      <w:numFmt w:val="bullet"/>
      <w:lvlText w:val=""/>
      <w:lvlJc w:val="left"/>
      <w:pPr>
        <w:tabs>
          <w:tab w:val="num" w:pos="3000"/>
        </w:tabs>
        <w:ind w:left="3000" w:hanging="360"/>
      </w:pPr>
      <w:rPr>
        <w:rFonts w:ascii="Symbol" w:hAnsi="Symbol" w:hint="default"/>
      </w:rPr>
    </w:lvl>
    <w:lvl w:ilvl="4">
      <w:start w:val="1"/>
      <w:numFmt w:val="bullet"/>
      <w:lvlText w:val="o"/>
      <w:lvlJc w:val="left"/>
      <w:pPr>
        <w:tabs>
          <w:tab w:val="num" w:pos="3720"/>
        </w:tabs>
        <w:ind w:left="3720" w:hanging="360"/>
      </w:pPr>
      <w:rPr>
        <w:rFonts w:ascii="Courier New" w:hAnsi="Courier New" w:cs="Courier New" w:hint="default"/>
      </w:rPr>
    </w:lvl>
    <w:lvl w:ilvl="5">
      <w:start w:val="1"/>
      <w:numFmt w:val="bullet"/>
      <w:lvlText w:val=""/>
      <w:lvlJc w:val="left"/>
      <w:pPr>
        <w:tabs>
          <w:tab w:val="num" w:pos="4440"/>
        </w:tabs>
        <w:ind w:left="4440" w:hanging="360"/>
      </w:pPr>
      <w:rPr>
        <w:rFonts w:ascii="Wingdings" w:hAnsi="Wingdings" w:hint="default"/>
      </w:rPr>
    </w:lvl>
    <w:lvl w:ilvl="6">
      <w:start w:val="1"/>
      <w:numFmt w:val="bullet"/>
      <w:lvlText w:val=""/>
      <w:lvlJc w:val="left"/>
      <w:pPr>
        <w:tabs>
          <w:tab w:val="num" w:pos="5160"/>
        </w:tabs>
        <w:ind w:left="5160" w:hanging="360"/>
      </w:pPr>
      <w:rPr>
        <w:rFonts w:ascii="Symbol" w:hAnsi="Symbol" w:hint="default"/>
      </w:rPr>
    </w:lvl>
    <w:lvl w:ilvl="7">
      <w:start w:val="1"/>
      <w:numFmt w:val="bullet"/>
      <w:lvlText w:val="o"/>
      <w:lvlJc w:val="left"/>
      <w:pPr>
        <w:tabs>
          <w:tab w:val="num" w:pos="5880"/>
        </w:tabs>
        <w:ind w:left="5880" w:hanging="360"/>
      </w:pPr>
      <w:rPr>
        <w:rFonts w:ascii="Courier New" w:hAnsi="Courier New" w:cs="Courier New" w:hint="default"/>
      </w:rPr>
    </w:lvl>
    <w:lvl w:ilvl="8">
      <w:start w:val="1"/>
      <w:numFmt w:val="bullet"/>
      <w:lvlText w:val=""/>
      <w:lvlJc w:val="left"/>
      <w:pPr>
        <w:tabs>
          <w:tab w:val="num" w:pos="6600"/>
        </w:tabs>
        <w:ind w:left="6600" w:hanging="360"/>
      </w:pPr>
      <w:rPr>
        <w:rFonts w:ascii="Wingdings" w:hAnsi="Wingdings" w:hint="default"/>
      </w:rPr>
    </w:lvl>
  </w:abstractNum>
  <w:abstractNum w:abstractNumId="4">
    <w:nsid w:val="0E3C58C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nsid w:val="19810CC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nsid w:val="1BE4285D"/>
    <w:multiLevelType w:val="multilevel"/>
    <w:tmpl w:val="5C12A6FA"/>
    <w:lvl w:ilvl="0">
      <w:start w:val="1"/>
      <w:numFmt w:val="upperRoman"/>
      <w:lvlText w:val="%1."/>
      <w:lvlJc w:val="left"/>
      <w:pPr>
        <w:tabs>
          <w:tab w:val="num" w:pos="0"/>
        </w:tabs>
        <w:ind w:left="840" w:firstLine="0"/>
      </w:pPr>
      <w:rPr>
        <w:rFonts w:ascii="Arial" w:hAnsi="Arial" w:cs="Arial" w:hint="default"/>
        <w:b/>
        <w:i w:val="0"/>
        <w:caps w:val="0"/>
        <w:strike w:val="0"/>
        <w:dstrike w:val="0"/>
        <w:vanish w:val="0"/>
        <w:color w:val="auto"/>
        <w:sz w:val="24"/>
        <w:u w:val="none"/>
        <w:effect w:val="none"/>
        <w:vertAlign w:val="baseline"/>
        <w14:shadow w14:blurRad="0" w14:dist="0" w14:dir="0" w14:sx="0" w14:sy="0" w14:kx="0" w14:ky="0" w14:algn="none">
          <w14:srgbClr w14:val="000000"/>
        </w14:shadow>
        <w14:textOutline w14:cap="rnd">
          <w14:noFill/>
          <w14:bevel/>
        </w14:textOutline>
      </w:rPr>
    </w:lvl>
    <w:lvl w:ilvl="1">
      <w:start w:val="1"/>
      <w:numFmt w:val="upperLetter"/>
      <w:lvlText w:val="%2."/>
      <w:lvlJc w:val="left"/>
      <w:pPr>
        <w:tabs>
          <w:tab w:val="num" w:pos="0"/>
        </w:tabs>
        <w:ind w:left="3720" w:hanging="360"/>
      </w:pPr>
      <w:rPr>
        <w:rFonts w:ascii="Helvetica" w:hAnsi="Helvetica" w:cs="Arial" w:hint="default"/>
        <w:b/>
        <w:i w:val="0"/>
        <w:caps w:val="0"/>
        <w:strike w:val="0"/>
        <w:dstrike w:val="0"/>
        <w:vanish w:val="0"/>
        <w:color w:val="auto"/>
        <w:sz w:val="24"/>
        <w:u w:val="none"/>
        <w:effect w:val="none"/>
        <w:vertAlign w:val="baseline"/>
        <w14:shadow w14:blurRad="0" w14:dist="0" w14:dir="0" w14:sx="0" w14:sy="0" w14:kx="0" w14:ky="0" w14:algn="none">
          <w14:srgbClr w14:val="000000"/>
        </w14:shadow>
        <w14:textOutline w14:cap="rnd">
          <w14:noFill/>
          <w14:bevel/>
        </w14:textOutline>
      </w:rPr>
    </w:lvl>
    <w:lvl w:ilvl="2">
      <w:start w:val="1"/>
      <w:numFmt w:val="decimal"/>
      <w:lvlRestart w:val="0"/>
      <w:lvlText w:val="%3."/>
      <w:lvlJc w:val="left"/>
      <w:pPr>
        <w:tabs>
          <w:tab w:val="num" w:pos="0"/>
        </w:tabs>
        <w:ind w:left="2160" w:hanging="720"/>
      </w:pPr>
      <w:rPr>
        <w:rFonts w:ascii="Arial" w:hAnsi="Arial" w:cs="Arial" w:hint="default"/>
        <w:b/>
        <w:i w:val="0"/>
        <w:caps w:val="0"/>
        <w:strike w:val="0"/>
        <w:dstrike w:val="0"/>
        <w:vanish w:val="0"/>
        <w:color w:val="auto"/>
        <w:sz w:val="24"/>
        <w:u w:val="none"/>
        <w:effect w:val="none"/>
        <w:vertAlign w:val="baseline"/>
        <w14:shadow w14:blurRad="0" w14:dist="0" w14:dir="0" w14:sx="0" w14:sy="0" w14:kx="0" w14:ky="0" w14:algn="none">
          <w14:srgbClr w14:val="000000"/>
        </w14:shadow>
        <w14:textOutline w14:cap="rnd">
          <w14:noFill/>
          <w14:bevel/>
        </w14:textOutline>
      </w:rPr>
    </w:lvl>
    <w:lvl w:ilvl="3">
      <w:start w:val="1"/>
      <w:numFmt w:val="none"/>
      <w:suff w:val="nothing"/>
      <w:lvlText w:val="  "/>
      <w:lvlJc w:val="left"/>
      <w:pPr>
        <w:ind w:left="0" w:firstLine="0"/>
      </w:pPr>
      <w:rPr>
        <w:rFonts w:ascii="Times New Roman" w:hAnsi="Times New Roman" w:cs="Times New Roman" w:hint="default"/>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cap="rnd">
          <w14:noFill/>
          <w14:bevel/>
        </w14:textOutline>
      </w:rPr>
    </w:lvl>
    <w:lvl w:ilvl="4">
      <w:start w:val="1"/>
      <w:numFmt w:val="none"/>
      <w:suff w:val="nothing"/>
      <w:lvlText w:val="  "/>
      <w:lvlJc w:val="left"/>
      <w:pPr>
        <w:ind w:left="0" w:firstLine="0"/>
      </w:pPr>
      <w:rPr>
        <w:rFonts w:ascii="Times New Roman" w:hAnsi="Times New Roman" w:cs="Times New Roman" w:hint="default"/>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cap="rnd">
          <w14:noFill/>
          <w14:bevel/>
        </w14:textOutline>
      </w:rPr>
    </w:lvl>
    <w:lvl w:ilvl="5">
      <w:start w:val="1"/>
      <w:numFmt w:val="none"/>
      <w:suff w:val="nothing"/>
      <w:lvlText w:val="  "/>
      <w:lvlJc w:val="left"/>
      <w:pPr>
        <w:ind w:left="0" w:firstLine="0"/>
      </w:pPr>
      <w:rPr>
        <w:rFonts w:ascii="Times New Roman" w:hAnsi="Times New Roman" w:cs="Times New Roman" w:hint="default"/>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cap="rnd">
          <w14:noFill/>
          <w14:bevel/>
        </w14:textOutline>
      </w:rPr>
    </w:lvl>
    <w:lvl w:ilvl="6">
      <w:start w:val="1"/>
      <w:numFmt w:val="none"/>
      <w:suff w:val="nothing"/>
      <w:lvlText w:val="  "/>
      <w:lvlJc w:val="left"/>
      <w:pPr>
        <w:ind w:left="0" w:firstLine="0"/>
      </w:pPr>
      <w:rPr>
        <w:rFonts w:ascii="Times New Roman" w:hAnsi="Times New Roman" w:cs="Times New Roman" w:hint="default"/>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cap="rnd">
          <w14:noFill/>
          <w14:bevel/>
        </w14:textOutline>
      </w:rPr>
    </w:lvl>
    <w:lvl w:ilvl="7">
      <w:start w:val="1"/>
      <w:numFmt w:val="none"/>
      <w:suff w:val="nothing"/>
      <w:lvlText w:val="  "/>
      <w:lvlJc w:val="left"/>
      <w:pPr>
        <w:ind w:left="0" w:firstLine="0"/>
      </w:pPr>
      <w:rPr>
        <w:rFonts w:ascii="Times New Roman" w:hAnsi="Times New Roman" w:cs="Times New Roman" w:hint="default"/>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cap="rnd">
          <w14:noFill/>
          <w14:bevel/>
        </w14:textOutline>
      </w:rPr>
    </w:lvl>
    <w:lvl w:ilvl="8">
      <w:start w:val="1"/>
      <w:numFmt w:val="none"/>
      <w:suff w:val="nothing"/>
      <w:lvlText w:val="  "/>
      <w:lvlJc w:val="left"/>
      <w:pPr>
        <w:ind w:left="0" w:firstLine="0"/>
      </w:pPr>
      <w:rPr>
        <w:rFonts w:ascii="Times New Roman" w:hAnsi="Times New Roman" w:cs="Times New Roman" w:hint="default"/>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cap="rnd">
          <w14:noFill/>
          <w14:bevel/>
        </w14:textOutline>
      </w:rPr>
    </w:lvl>
  </w:abstractNum>
  <w:abstractNum w:abstractNumId="7">
    <w:nsid w:val="23BA4883"/>
    <w:multiLevelType w:val="multilevel"/>
    <w:tmpl w:val="7398052A"/>
    <w:lvl w:ilvl="0">
      <w:start w:val="1"/>
      <w:numFmt w:val="upperRoman"/>
      <w:lvlText w:val="%1."/>
      <w:lvlJc w:val="left"/>
      <w:pPr>
        <w:tabs>
          <w:tab w:val="num" w:pos="-840"/>
        </w:tabs>
        <w:ind w:left="0" w:firstLine="0"/>
      </w:pPr>
      <w:rPr>
        <w:rFonts w:ascii="Helvetica" w:hAnsi="Helvetica" w:cs="Arial" w:hint="default"/>
        <w:b/>
        <w:i w:val="0"/>
        <w:caps w:val="0"/>
        <w:strike w:val="0"/>
        <w:dstrike w:val="0"/>
        <w:vanish w:val="0"/>
        <w:color w:val="auto"/>
        <w:sz w:val="24"/>
        <w:u w:val="single"/>
        <w:effect w:val="none"/>
        <w:vertAlign w:val="baseline"/>
        <w14:shadow w14:blurRad="0" w14:dist="0" w14:dir="0" w14:sx="0" w14:sy="0" w14:kx="0" w14:ky="0" w14:algn="none">
          <w14:srgbClr w14:val="000000"/>
        </w14:shadow>
        <w14:textOutline w14:cap="rnd">
          <w14:noFill/>
          <w14:bevel/>
        </w14:textOutline>
      </w:rPr>
    </w:lvl>
    <w:lvl w:ilvl="1">
      <w:start w:val="1"/>
      <w:numFmt w:val="upperLetter"/>
      <w:lvlText w:val="%2."/>
      <w:lvlJc w:val="left"/>
      <w:pPr>
        <w:tabs>
          <w:tab w:val="num" w:pos="-840"/>
        </w:tabs>
        <w:ind w:left="2880" w:hanging="360"/>
      </w:pPr>
      <w:rPr>
        <w:rFonts w:ascii="Helvetica" w:hAnsi="Helvetica" w:cs="Arial" w:hint="default"/>
        <w:b/>
        <w:i w:val="0"/>
        <w:caps w:val="0"/>
        <w:strike w:val="0"/>
        <w:dstrike w:val="0"/>
        <w:vanish w:val="0"/>
        <w:color w:val="auto"/>
        <w:sz w:val="24"/>
        <w:u w:val="none"/>
        <w:effect w:val="none"/>
        <w:vertAlign w:val="baseline"/>
        <w14:shadow w14:blurRad="0" w14:dist="0" w14:dir="0" w14:sx="0" w14:sy="0" w14:kx="0" w14:ky="0" w14:algn="none">
          <w14:srgbClr w14:val="000000"/>
        </w14:shadow>
        <w14:textOutline w14:cap="rnd">
          <w14:noFill/>
          <w14:bevel/>
        </w14:textOutline>
      </w:rPr>
    </w:lvl>
    <w:lvl w:ilvl="2">
      <w:start w:val="1"/>
      <w:numFmt w:val="decimal"/>
      <w:lvlRestart w:val="0"/>
      <w:lvlText w:val="%3."/>
      <w:lvlJc w:val="left"/>
      <w:pPr>
        <w:tabs>
          <w:tab w:val="num" w:pos="-840"/>
        </w:tabs>
        <w:ind w:left="1320" w:hanging="720"/>
      </w:pPr>
      <w:rPr>
        <w:rFonts w:ascii="Arial" w:hAnsi="Arial" w:cs="Arial" w:hint="default"/>
        <w:b/>
        <w:i w:val="0"/>
        <w:caps w:val="0"/>
        <w:strike w:val="0"/>
        <w:dstrike w:val="0"/>
        <w:vanish w:val="0"/>
        <w:color w:val="auto"/>
        <w:sz w:val="24"/>
        <w:u w:val="none"/>
        <w:effect w:val="none"/>
        <w:vertAlign w:val="baseline"/>
        <w14:shadow w14:blurRad="0" w14:dist="0" w14:dir="0" w14:sx="0" w14:sy="0" w14:kx="0" w14:ky="0" w14:algn="none">
          <w14:srgbClr w14:val="000000"/>
        </w14:shadow>
        <w14:textOutline w14:cap="rnd">
          <w14:noFill/>
          <w14:bevel/>
        </w14:textOutline>
      </w:rPr>
    </w:lvl>
    <w:lvl w:ilvl="3">
      <w:start w:val="1"/>
      <w:numFmt w:val="none"/>
      <w:suff w:val="nothing"/>
      <w:lvlText w:val="  "/>
      <w:lvlJc w:val="left"/>
      <w:pPr>
        <w:ind w:left="-840" w:firstLine="0"/>
      </w:pPr>
      <w:rPr>
        <w:rFonts w:ascii="Times New Roman" w:hAnsi="Times New Roman" w:cs="Times New Roman" w:hint="default"/>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cap="rnd">
          <w14:noFill/>
          <w14:bevel/>
        </w14:textOutline>
      </w:rPr>
    </w:lvl>
    <w:lvl w:ilvl="4">
      <w:start w:val="1"/>
      <w:numFmt w:val="none"/>
      <w:suff w:val="nothing"/>
      <w:lvlText w:val="  "/>
      <w:lvlJc w:val="left"/>
      <w:pPr>
        <w:ind w:left="-840" w:firstLine="0"/>
      </w:pPr>
      <w:rPr>
        <w:rFonts w:ascii="Times New Roman" w:hAnsi="Times New Roman" w:cs="Times New Roman" w:hint="default"/>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cap="rnd">
          <w14:noFill/>
          <w14:bevel/>
        </w14:textOutline>
      </w:rPr>
    </w:lvl>
    <w:lvl w:ilvl="5">
      <w:start w:val="1"/>
      <w:numFmt w:val="none"/>
      <w:suff w:val="nothing"/>
      <w:lvlText w:val="  "/>
      <w:lvlJc w:val="left"/>
      <w:pPr>
        <w:ind w:left="-840" w:firstLine="0"/>
      </w:pPr>
      <w:rPr>
        <w:rFonts w:ascii="Times New Roman" w:hAnsi="Times New Roman" w:cs="Times New Roman" w:hint="default"/>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cap="rnd">
          <w14:noFill/>
          <w14:bevel/>
        </w14:textOutline>
      </w:rPr>
    </w:lvl>
    <w:lvl w:ilvl="6">
      <w:start w:val="1"/>
      <w:numFmt w:val="none"/>
      <w:suff w:val="nothing"/>
      <w:lvlText w:val="  "/>
      <w:lvlJc w:val="left"/>
      <w:pPr>
        <w:ind w:left="-840" w:firstLine="0"/>
      </w:pPr>
      <w:rPr>
        <w:rFonts w:ascii="Times New Roman" w:hAnsi="Times New Roman" w:cs="Times New Roman" w:hint="default"/>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cap="rnd">
          <w14:noFill/>
          <w14:bevel/>
        </w14:textOutline>
      </w:rPr>
    </w:lvl>
    <w:lvl w:ilvl="7">
      <w:start w:val="1"/>
      <w:numFmt w:val="none"/>
      <w:suff w:val="nothing"/>
      <w:lvlText w:val="  "/>
      <w:lvlJc w:val="left"/>
      <w:pPr>
        <w:ind w:left="-840" w:firstLine="0"/>
      </w:pPr>
      <w:rPr>
        <w:rFonts w:ascii="Times New Roman" w:hAnsi="Times New Roman" w:cs="Times New Roman" w:hint="default"/>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cap="rnd">
          <w14:noFill/>
          <w14:bevel/>
        </w14:textOutline>
      </w:rPr>
    </w:lvl>
    <w:lvl w:ilvl="8">
      <w:start w:val="1"/>
      <w:numFmt w:val="none"/>
      <w:suff w:val="nothing"/>
      <w:lvlText w:val="  "/>
      <w:lvlJc w:val="left"/>
      <w:pPr>
        <w:ind w:left="-840" w:firstLine="0"/>
      </w:pPr>
      <w:rPr>
        <w:rFonts w:ascii="Times New Roman" w:hAnsi="Times New Roman" w:cs="Times New Roman" w:hint="default"/>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cap="rnd">
          <w14:noFill/>
          <w14:bevel/>
        </w14:textOutline>
      </w:rPr>
    </w:lvl>
  </w:abstractNum>
  <w:abstractNum w:abstractNumId="8">
    <w:nsid w:val="268F08DD"/>
    <w:multiLevelType w:val="multilevel"/>
    <w:tmpl w:val="F4947978"/>
    <w:lvl w:ilvl="0">
      <w:start w:val="1"/>
      <w:numFmt w:val="upperRoman"/>
      <w:suff w:val="nothing"/>
      <w:lvlText w:val="%1."/>
      <w:lvlJc w:val="left"/>
      <w:pPr>
        <w:ind w:left="0" w:firstLine="0"/>
      </w:pPr>
      <w:rPr>
        <w:rFonts w:ascii="Helvetica" w:hAnsi="Helvetica" w:cs="Arial" w:hint="default"/>
        <w:b/>
        <w:i w:val="0"/>
        <w:caps w:val="0"/>
        <w:strike w:val="0"/>
        <w:dstrike w:val="0"/>
        <w:vanish w:val="0"/>
        <w:color w:val="auto"/>
        <w:sz w:val="24"/>
        <w:u w:val="single"/>
        <w:effect w:val="none"/>
        <w:vertAlign w:val="baseline"/>
        <w14:shadow w14:blurRad="0" w14:dist="0" w14:dir="0" w14:sx="0" w14:sy="0" w14:kx="0" w14:ky="0" w14:algn="none">
          <w14:srgbClr w14:val="000000"/>
        </w14:shadow>
        <w14:textOutline w14:cap="rnd">
          <w14:noFill/>
          <w14:bevel/>
        </w14:textOutline>
      </w:rPr>
    </w:lvl>
    <w:lvl w:ilvl="1">
      <w:start w:val="1"/>
      <w:numFmt w:val="upperLetter"/>
      <w:suff w:val="nothing"/>
      <w:lvlText w:val="%2."/>
      <w:lvlJc w:val="left"/>
      <w:pPr>
        <w:ind w:left="2880" w:hanging="360"/>
      </w:pPr>
      <w:rPr>
        <w:rFonts w:ascii="Helvetica" w:hAnsi="Helvetica" w:cs="Arial" w:hint="default"/>
        <w:b/>
        <w:i w:val="0"/>
        <w:caps w:val="0"/>
        <w:strike w:val="0"/>
        <w:dstrike w:val="0"/>
        <w:vanish w:val="0"/>
        <w:color w:val="auto"/>
        <w:sz w:val="24"/>
        <w:u w:val="none"/>
        <w:effect w:val="none"/>
        <w:vertAlign w:val="baseline"/>
        <w14:shadow w14:blurRad="0" w14:dist="0" w14:dir="0" w14:sx="0" w14:sy="0" w14:kx="0" w14:ky="0" w14:algn="none">
          <w14:srgbClr w14:val="000000"/>
        </w14:shadow>
        <w14:textOutline w14:cap="rnd">
          <w14:noFill/>
          <w14:bevel/>
        </w14:textOutline>
      </w:rPr>
    </w:lvl>
    <w:lvl w:ilvl="2">
      <w:start w:val="1"/>
      <w:numFmt w:val="decimal"/>
      <w:lvlRestart w:val="0"/>
      <w:lvlText w:val="%3."/>
      <w:lvlJc w:val="left"/>
      <w:pPr>
        <w:tabs>
          <w:tab w:val="num" w:pos="-840"/>
        </w:tabs>
        <w:ind w:left="1320" w:hanging="720"/>
      </w:pPr>
      <w:rPr>
        <w:rFonts w:ascii="Arial" w:hAnsi="Arial" w:cs="Arial" w:hint="default"/>
        <w:b/>
        <w:i w:val="0"/>
        <w:caps w:val="0"/>
        <w:strike w:val="0"/>
        <w:dstrike w:val="0"/>
        <w:vanish w:val="0"/>
        <w:color w:val="auto"/>
        <w:sz w:val="24"/>
        <w:u w:val="none"/>
        <w:effect w:val="none"/>
        <w:vertAlign w:val="baseline"/>
        <w14:shadow w14:blurRad="0" w14:dist="0" w14:dir="0" w14:sx="0" w14:sy="0" w14:kx="0" w14:ky="0" w14:algn="none">
          <w14:srgbClr w14:val="000000"/>
        </w14:shadow>
        <w14:textOutline w14:cap="rnd">
          <w14:noFill/>
          <w14:bevel/>
        </w14:textOutline>
      </w:rPr>
    </w:lvl>
    <w:lvl w:ilvl="3">
      <w:start w:val="1"/>
      <w:numFmt w:val="none"/>
      <w:suff w:val="nothing"/>
      <w:lvlText w:val="  "/>
      <w:lvlJc w:val="left"/>
      <w:pPr>
        <w:ind w:left="-840" w:firstLine="0"/>
      </w:pPr>
      <w:rPr>
        <w:rFonts w:ascii="Times New Roman" w:hAnsi="Times New Roman" w:cs="Times New Roman" w:hint="default"/>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cap="rnd">
          <w14:noFill/>
          <w14:bevel/>
        </w14:textOutline>
      </w:rPr>
    </w:lvl>
    <w:lvl w:ilvl="4">
      <w:start w:val="1"/>
      <w:numFmt w:val="none"/>
      <w:suff w:val="nothing"/>
      <w:lvlText w:val="  "/>
      <w:lvlJc w:val="left"/>
      <w:pPr>
        <w:ind w:left="-840" w:firstLine="0"/>
      </w:pPr>
      <w:rPr>
        <w:rFonts w:ascii="Times New Roman" w:hAnsi="Times New Roman" w:cs="Times New Roman" w:hint="default"/>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cap="rnd">
          <w14:noFill/>
          <w14:bevel/>
        </w14:textOutline>
      </w:rPr>
    </w:lvl>
    <w:lvl w:ilvl="5">
      <w:start w:val="1"/>
      <w:numFmt w:val="none"/>
      <w:suff w:val="nothing"/>
      <w:lvlText w:val="  "/>
      <w:lvlJc w:val="left"/>
      <w:pPr>
        <w:ind w:left="-840" w:firstLine="0"/>
      </w:pPr>
      <w:rPr>
        <w:rFonts w:ascii="Times New Roman" w:hAnsi="Times New Roman" w:cs="Times New Roman" w:hint="default"/>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cap="rnd">
          <w14:noFill/>
          <w14:bevel/>
        </w14:textOutline>
      </w:rPr>
    </w:lvl>
    <w:lvl w:ilvl="6">
      <w:start w:val="1"/>
      <w:numFmt w:val="none"/>
      <w:suff w:val="nothing"/>
      <w:lvlText w:val="  "/>
      <w:lvlJc w:val="left"/>
      <w:pPr>
        <w:ind w:left="-840" w:firstLine="0"/>
      </w:pPr>
      <w:rPr>
        <w:rFonts w:ascii="Times New Roman" w:hAnsi="Times New Roman" w:cs="Times New Roman" w:hint="default"/>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cap="rnd">
          <w14:noFill/>
          <w14:bevel/>
        </w14:textOutline>
      </w:rPr>
    </w:lvl>
    <w:lvl w:ilvl="7">
      <w:start w:val="1"/>
      <w:numFmt w:val="none"/>
      <w:suff w:val="nothing"/>
      <w:lvlText w:val="  "/>
      <w:lvlJc w:val="left"/>
      <w:pPr>
        <w:ind w:left="-840" w:firstLine="0"/>
      </w:pPr>
      <w:rPr>
        <w:rFonts w:ascii="Times New Roman" w:hAnsi="Times New Roman" w:cs="Times New Roman" w:hint="default"/>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cap="rnd">
          <w14:noFill/>
          <w14:bevel/>
        </w14:textOutline>
      </w:rPr>
    </w:lvl>
    <w:lvl w:ilvl="8">
      <w:start w:val="1"/>
      <w:numFmt w:val="none"/>
      <w:suff w:val="nothing"/>
      <w:lvlText w:val="  "/>
      <w:lvlJc w:val="left"/>
      <w:pPr>
        <w:ind w:left="-840" w:firstLine="0"/>
      </w:pPr>
      <w:rPr>
        <w:rFonts w:ascii="Times New Roman" w:hAnsi="Times New Roman" w:cs="Times New Roman" w:hint="default"/>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cap="rnd">
          <w14:noFill/>
          <w14:bevel/>
        </w14:textOutline>
      </w:rPr>
    </w:lvl>
  </w:abstractNum>
  <w:abstractNum w:abstractNumId="9">
    <w:nsid w:val="2C7D7DBF"/>
    <w:multiLevelType w:val="hybridMultilevel"/>
    <w:tmpl w:val="BB60FA1E"/>
    <w:lvl w:ilvl="0">
      <w:start w:val="1"/>
      <w:numFmt w:val="bullet"/>
      <w:lvlText w:val=""/>
      <w:lvlJc w:val="left"/>
      <w:pPr>
        <w:tabs>
          <w:tab w:val="num" w:pos="1080"/>
        </w:tabs>
        <w:ind w:left="1080" w:hanging="360"/>
      </w:pPr>
      <w:rPr>
        <w:rFonts w:ascii="Symbol" w:hAnsi="Symbol" w:hint="default"/>
        <w:color w:val="auto"/>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10">
    <w:nsid w:val="2DF60458"/>
    <w:multiLevelType w:val="hybridMultilevel"/>
    <w:tmpl w:val="8F203FEE"/>
    <w:lvl w:ilvl="0">
      <w:start w:val="1"/>
      <w:numFmt w:val="bullet"/>
      <w:lvlText w:val=""/>
      <w:lvlJc w:val="left"/>
      <w:pPr>
        <w:ind w:left="1440" w:hanging="360"/>
      </w:pPr>
      <w:rPr>
        <w:rFonts w:ascii="Symbol" w:hAnsi="Symbol"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11">
    <w:nsid w:val="300F67BC"/>
    <w:multiLevelType w:val="multilevel"/>
    <w:tmpl w:val="2D16006E"/>
    <w:lvl w:ilvl="0">
      <w:start w:val="1"/>
      <w:numFmt w:val="upperRoman"/>
      <w:pStyle w:val="Heading1"/>
      <w:lvlText w:val="%1."/>
      <w:lvlJc w:val="left"/>
      <w:pPr>
        <w:tabs>
          <w:tab w:val="num" w:pos="3240"/>
        </w:tabs>
        <w:ind w:left="3960" w:hanging="720"/>
      </w:pPr>
      <w:rPr>
        <w:rFonts w:ascii="Arial" w:hAnsi="Arial" w:cs="Arial"/>
        <w:b/>
        <w:i w:val="0"/>
        <w:caps w:val="0"/>
        <w:strike w:val="0"/>
        <w:dstrike w:val="0"/>
        <w:vanish w:val="0"/>
        <w:color w:val="000000"/>
        <w:sz w:val="24"/>
        <w:u w:val="none"/>
        <w:effect w:val="none"/>
        <w:vertAlign w:val="baseline"/>
        <w14:shadow w14:blurRad="0" w14:dist="0" w14:dir="0" w14:sx="0" w14:sy="0" w14:kx="0" w14:ky="0" w14:algn="none">
          <w14:srgbClr w14:val="000000"/>
        </w14:shadow>
        <w14:textOutline w14:cap="rnd">
          <w14:noFill/>
          <w14:bevel/>
        </w14:textOutline>
      </w:rPr>
    </w:lvl>
    <w:lvl w:ilvl="1">
      <w:start w:val="1"/>
      <w:numFmt w:val="upperLetter"/>
      <w:pStyle w:val="Heading2"/>
      <w:lvlText w:val="%2."/>
      <w:lvlJc w:val="left"/>
      <w:pPr>
        <w:tabs>
          <w:tab w:val="num" w:pos="360"/>
        </w:tabs>
        <w:ind w:left="1800" w:hanging="720"/>
      </w:pPr>
      <w:rPr>
        <w:rFonts w:ascii="Arial" w:hAnsi="Arial" w:cs="Arial"/>
        <w:b/>
        <w:i w:val="0"/>
        <w:caps w:val="0"/>
        <w:strike w:val="0"/>
        <w:dstrike w:val="0"/>
        <w:vanish w:val="0"/>
        <w:color w:val="000000"/>
        <w:sz w:val="24"/>
        <w:u w:val="none"/>
        <w:effect w:val="none"/>
        <w:vertAlign w:val="baseline"/>
        <w14:shadow w14:blurRad="0" w14:dist="0" w14:dir="0" w14:sx="0" w14:sy="0" w14:kx="0" w14:ky="0" w14:algn="none">
          <w14:srgbClr w14:val="000000"/>
        </w14:shadow>
        <w14:textOutline w14:cap="rnd">
          <w14:noFill/>
          <w14:bevel/>
        </w14:textOutline>
      </w:rPr>
    </w:lvl>
    <w:lvl w:ilvl="2">
      <w:start w:val="1"/>
      <w:numFmt w:val="none"/>
      <w:pStyle w:val="Heading3"/>
      <w:suff w:val="nothing"/>
      <w:lvlJc w:val="left"/>
      <w:pPr>
        <w:tabs>
          <w:tab w:val="num" w:pos="0"/>
        </w:tabs>
        <w:ind w:left="0" w:firstLine="0"/>
      </w:pPr>
      <w:rPr>
        <w:rFonts w:ascii="Arial" w:hAnsi="Arial" w:cs="Arial"/>
        <w:b/>
        <w:i w:val="0"/>
        <w:caps w:val="0"/>
        <w:strike w:val="0"/>
        <w:dstrike w:val="0"/>
        <w:vanish w:val="0"/>
        <w:color w:val="000000"/>
        <w:sz w:val="24"/>
        <w:u w:val="none"/>
        <w:effect w:val="none"/>
        <w:vertAlign w:val="baseline"/>
        <w14:shadow w14:blurRad="0" w14:dist="0" w14:dir="0" w14:sx="0" w14:sy="0" w14:kx="0" w14:ky="0" w14:algn="none">
          <w14:srgbClr w14:val="000000"/>
        </w14:shadow>
        <w14:textOutline w14:cap="rnd">
          <w14:noFill/>
          <w14:bevel/>
        </w14:textOutline>
      </w:rPr>
    </w:lvl>
    <w:lvl w:ilvl="3">
      <w:start w:val="1"/>
      <w:numFmt w:val="none"/>
      <w:pStyle w:val="Heading4"/>
      <w:suff w:val="nothing"/>
      <w:lvlJc w:val="left"/>
      <w:pPr>
        <w:tabs>
          <w:tab w:val="num" w:pos="0"/>
        </w:tabs>
        <w:ind w:left="0" w:firstLine="0"/>
      </w:pPr>
      <w:rPr>
        <w:rFonts w:ascii="Arial" w:hAnsi="Arial" w:cs="Arial"/>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cap="rnd">
          <w14:noFill/>
          <w14:bevel/>
        </w14:textOutline>
      </w:rPr>
    </w:lvl>
    <w:lvl w:ilvl="4">
      <w:start w:val="1"/>
      <w:numFmt w:val="none"/>
      <w:pStyle w:val="Heading5"/>
      <w:suff w:val="nothing"/>
      <w:lvlJc w:val="left"/>
      <w:pPr>
        <w:tabs>
          <w:tab w:val="num" w:pos="0"/>
        </w:tabs>
        <w:ind w:left="0" w:firstLine="0"/>
      </w:pPr>
      <w:rPr>
        <w:rFonts w:ascii="Arial" w:hAnsi="Arial" w:cs="Arial"/>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cap="rnd">
          <w14:noFill/>
          <w14:bevel/>
        </w14:textOutline>
      </w:rPr>
    </w:lvl>
    <w:lvl w:ilvl="5">
      <w:start w:val="1"/>
      <w:numFmt w:val="none"/>
      <w:pStyle w:val="Heading6"/>
      <w:suff w:val="nothing"/>
      <w:lvlJc w:val="left"/>
      <w:pPr>
        <w:tabs>
          <w:tab w:val="num" w:pos="0"/>
        </w:tabs>
        <w:ind w:left="0" w:firstLine="0"/>
      </w:pPr>
      <w:rPr>
        <w:rFonts w:ascii="Arial" w:hAnsi="Arial" w:cs="Arial"/>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cap="rnd">
          <w14:noFill/>
          <w14:bevel/>
        </w14:textOutline>
      </w:rPr>
    </w:lvl>
    <w:lvl w:ilvl="6">
      <w:start w:val="1"/>
      <w:numFmt w:val="none"/>
      <w:pStyle w:val="Heading7"/>
      <w:suff w:val="nothing"/>
      <w:lvlJc w:val="left"/>
      <w:pPr>
        <w:tabs>
          <w:tab w:val="num" w:pos="0"/>
        </w:tabs>
        <w:ind w:left="0" w:firstLine="0"/>
      </w:pPr>
      <w:rPr>
        <w:rFonts w:ascii="Arial" w:hAnsi="Arial" w:cs="Arial"/>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cap="rnd">
          <w14:noFill/>
          <w14:bevel/>
        </w14:textOutline>
      </w:rPr>
    </w:lvl>
    <w:lvl w:ilvl="7">
      <w:start w:val="1"/>
      <w:numFmt w:val="none"/>
      <w:pStyle w:val="Heading8"/>
      <w:suff w:val="nothing"/>
      <w:lvlJc w:val="left"/>
      <w:pPr>
        <w:tabs>
          <w:tab w:val="num" w:pos="0"/>
        </w:tabs>
        <w:ind w:left="0" w:firstLine="0"/>
      </w:pPr>
      <w:rPr>
        <w:rFonts w:ascii="Arial" w:hAnsi="Arial" w:cs="Arial"/>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cap="rnd">
          <w14:noFill/>
          <w14:bevel/>
        </w14:textOutline>
      </w:rPr>
    </w:lvl>
    <w:lvl w:ilvl="8">
      <w:start w:val="1"/>
      <w:numFmt w:val="none"/>
      <w:pStyle w:val="Heading9"/>
      <w:suff w:val="nothing"/>
      <w:lvlJc w:val="left"/>
      <w:pPr>
        <w:tabs>
          <w:tab w:val="num" w:pos="0"/>
        </w:tabs>
        <w:ind w:left="0" w:firstLine="0"/>
      </w:pPr>
      <w:rPr>
        <w:rFonts w:ascii="Arial" w:hAnsi="Arial" w:cs="Arial"/>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cap="rnd">
          <w14:noFill/>
          <w14:bevel/>
        </w14:textOutline>
      </w:rPr>
    </w:lvl>
  </w:abstractNum>
  <w:abstractNum w:abstractNumId="12">
    <w:nsid w:val="326634E3"/>
    <w:multiLevelType w:val="hybridMultilevel"/>
    <w:tmpl w:val="4612ABFC"/>
    <w:lvl w:ilvl="0">
      <w:start w:val="1"/>
      <w:numFmt w:val="upperRoman"/>
      <w:lvlText w:val="%1."/>
      <w:lvlJc w:val="left"/>
      <w:pPr>
        <w:ind w:left="3600" w:hanging="720"/>
      </w:pPr>
      <w:rPr>
        <w:rFonts w:hint="default"/>
      </w:rPr>
    </w:lvl>
    <w:lvl w:ilvl="1" w:tentative="1">
      <w:start w:val="1"/>
      <w:numFmt w:val="lowerLetter"/>
      <w:lvlText w:val="%2."/>
      <w:lvlJc w:val="left"/>
      <w:pPr>
        <w:ind w:left="3960" w:hanging="360"/>
      </w:pPr>
    </w:lvl>
    <w:lvl w:ilvl="2" w:tentative="1">
      <w:start w:val="1"/>
      <w:numFmt w:val="lowerRoman"/>
      <w:lvlText w:val="%3."/>
      <w:lvlJc w:val="right"/>
      <w:pPr>
        <w:ind w:left="4680" w:hanging="180"/>
      </w:pPr>
    </w:lvl>
    <w:lvl w:ilvl="3" w:tentative="1">
      <w:start w:val="1"/>
      <w:numFmt w:val="decimal"/>
      <w:lvlText w:val="%4."/>
      <w:lvlJc w:val="left"/>
      <w:pPr>
        <w:ind w:left="5400" w:hanging="360"/>
      </w:pPr>
    </w:lvl>
    <w:lvl w:ilvl="4" w:tentative="1">
      <w:start w:val="1"/>
      <w:numFmt w:val="lowerLetter"/>
      <w:lvlText w:val="%5."/>
      <w:lvlJc w:val="left"/>
      <w:pPr>
        <w:ind w:left="6120" w:hanging="360"/>
      </w:pPr>
    </w:lvl>
    <w:lvl w:ilvl="5" w:tentative="1">
      <w:start w:val="1"/>
      <w:numFmt w:val="lowerRoman"/>
      <w:lvlText w:val="%6."/>
      <w:lvlJc w:val="right"/>
      <w:pPr>
        <w:ind w:left="6840" w:hanging="180"/>
      </w:pPr>
    </w:lvl>
    <w:lvl w:ilvl="6" w:tentative="1">
      <w:start w:val="1"/>
      <w:numFmt w:val="decimal"/>
      <w:lvlText w:val="%7."/>
      <w:lvlJc w:val="left"/>
      <w:pPr>
        <w:ind w:left="7560" w:hanging="360"/>
      </w:pPr>
    </w:lvl>
    <w:lvl w:ilvl="7" w:tentative="1">
      <w:start w:val="1"/>
      <w:numFmt w:val="lowerLetter"/>
      <w:lvlText w:val="%8."/>
      <w:lvlJc w:val="left"/>
      <w:pPr>
        <w:ind w:left="8280" w:hanging="360"/>
      </w:pPr>
    </w:lvl>
    <w:lvl w:ilvl="8" w:tentative="1">
      <w:start w:val="1"/>
      <w:numFmt w:val="lowerRoman"/>
      <w:lvlText w:val="%9."/>
      <w:lvlJc w:val="right"/>
      <w:pPr>
        <w:ind w:left="9000" w:hanging="180"/>
      </w:pPr>
    </w:lvl>
  </w:abstractNum>
  <w:abstractNum w:abstractNumId="13">
    <w:nsid w:val="3308691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4">
    <w:nsid w:val="33411305"/>
    <w:multiLevelType w:val="hybridMultilevel"/>
    <w:tmpl w:val="CDF238AC"/>
    <w:lvl w:ilvl="0">
      <w:start w:val="1"/>
      <w:numFmt w:val="bullet"/>
      <w:lvlText w:val=""/>
      <w:lvlJc w:val="left"/>
      <w:pPr>
        <w:tabs>
          <w:tab w:val="num" w:pos="1440"/>
        </w:tabs>
        <w:ind w:left="1440" w:hanging="360"/>
      </w:pPr>
      <w:rPr>
        <w:rFonts w:ascii="Symbol" w:hAnsi="Symbol" w:hint="default"/>
      </w:rPr>
    </w:lvl>
    <w:lvl w:ilvl="1" w:tentative="1">
      <w:start w:val="1"/>
      <w:numFmt w:val="bullet"/>
      <w:lvlText w:val="o"/>
      <w:lvlJc w:val="left"/>
      <w:pPr>
        <w:tabs>
          <w:tab w:val="num" w:pos="2160"/>
        </w:tabs>
        <w:ind w:left="2160" w:hanging="360"/>
      </w:pPr>
      <w:rPr>
        <w:rFonts w:ascii="Courier New" w:hAnsi="Courier New" w:cs="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cs="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cs="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15">
    <w:nsid w:val="34CB1F27"/>
    <w:multiLevelType w:val="hybridMultilevel"/>
    <w:tmpl w:val="AA70137A"/>
    <w:lvl w:ilvl="0">
      <w:start w:val="1"/>
      <w:numFmt w:val="bullet"/>
      <w:lvlText w:val=""/>
      <w:lvlJc w:val="left"/>
      <w:pPr>
        <w:ind w:left="1440" w:hanging="360"/>
      </w:pPr>
      <w:rPr>
        <w:rFonts w:ascii="Symbol" w:hAnsi="Symbol"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16">
    <w:nsid w:val="37E04808"/>
    <w:multiLevelType w:val="hybridMultilevel"/>
    <w:tmpl w:val="27740790"/>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nsid w:val="3AA34E6F"/>
    <w:multiLevelType w:val="multilevel"/>
    <w:tmpl w:val="073282B0"/>
    <w:lvl w:ilvl="0">
      <w:start w:val="1"/>
      <w:numFmt w:val="upperRoman"/>
      <w:suff w:val="nothing"/>
      <w:lvlText w:val="%1.  "/>
      <w:lvlJc w:val="left"/>
      <w:pPr>
        <w:ind w:left="0" w:firstLine="0"/>
      </w:pPr>
      <w:rPr>
        <w:rFonts w:ascii="Helvetica" w:hAnsi="Helvetica" w:cs="Arial" w:hint="default"/>
        <w:b/>
        <w:i w:val="0"/>
        <w:caps w:val="0"/>
        <w:strike w:val="0"/>
        <w:dstrike w:val="0"/>
        <w:vanish w:val="0"/>
        <w:color w:val="auto"/>
        <w:sz w:val="24"/>
        <w:u w:val="single"/>
        <w:effect w:val="none"/>
        <w:vertAlign w:val="baseline"/>
        <w14:shadow w14:blurRad="0" w14:dist="0" w14:dir="0" w14:sx="0" w14:sy="0" w14:kx="0" w14:ky="0" w14:algn="none">
          <w14:srgbClr w14:val="000000"/>
        </w14:shadow>
        <w14:textOutline w14:cap="rnd">
          <w14:noFill/>
          <w14:bevel/>
        </w14:textOutline>
      </w:rPr>
    </w:lvl>
    <w:lvl w:ilvl="1">
      <w:start w:val="1"/>
      <w:numFmt w:val="upperLetter"/>
      <w:lvlText w:val="%2."/>
      <w:lvlJc w:val="left"/>
      <w:pPr>
        <w:tabs>
          <w:tab w:val="num" w:pos="-840"/>
        </w:tabs>
        <w:ind w:left="2880" w:hanging="360"/>
      </w:pPr>
      <w:rPr>
        <w:rFonts w:ascii="Helvetica" w:hAnsi="Helvetica" w:cs="Arial" w:hint="default"/>
        <w:b/>
        <w:i w:val="0"/>
        <w:caps w:val="0"/>
        <w:strike w:val="0"/>
        <w:dstrike w:val="0"/>
        <w:vanish w:val="0"/>
        <w:color w:val="auto"/>
        <w:sz w:val="24"/>
        <w:u w:val="none"/>
        <w:effect w:val="none"/>
        <w:vertAlign w:val="baseline"/>
        <w14:shadow w14:blurRad="0" w14:dist="0" w14:dir="0" w14:sx="0" w14:sy="0" w14:kx="0" w14:ky="0" w14:algn="none">
          <w14:srgbClr w14:val="000000"/>
        </w14:shadow>
        <w14:textOutline w14:cap="rnd">
          <w14:noFill/>
          <w14:bevel/>
        </w14:textOutline>
      </w:rPr>
    </w:lvl>
    <w:lvl w:ilvl="2">
      <w:start w:val="1"/>
      <w:numFmt w:val="decimal"/>
      <w:lvlRestart w:val="0"/>
      <w:lvlText w:val="%3."/>
      <w:lvlJc w:val="left"/>
      <w:pPr>
        <w:tabs>
          <w:tab w:val="num" w:pos="-840"/>
        </w:tabs>
        <w:ind w:left="1320" w:hanging="720"/>
      </w:pPr>
      <w:rPr>
        <w:rFonts w:ascii="Arial" w:hAnsi="Arial" w:cs="Arial" w:hint="default"/>
        <w:b/>
        <w:i w:val="0"/>
        <w:caps w:val="0"/>
        <w:strike w:val="0"/>
        <w:dstrike w:val="0"/>
        <w:vanish w:val="0"/>
        <w:color w:val="auto"/>
        <w:sz w:val="24"/>
        <w:u w:val="none"/>
        <w:effect w:val="none"/>
        <w:vertAlign w:val="baseline"/>
        <w14:shadow w14:blurRad="0" w14:dist="0" w14:dir="0" w14:sx="0" w14:sy="0" w14:kx="0" w14:ky="0" w14:algn="none">
          <w14:srgbClr w14:val="000000"/>
        </w14:shadow>
        <w14:textOutline w14:cap="rnd">
          <w14:noFill/>
          <w14:bevel/>
        </w14:textOutline>
      </w:rPr>
    </w:lvl>
    <w:lvl w:ilvl="3">
      <w:start w:val="1"/>
      <w:numFmt w:val="none"/>
      <w:suff w:val="nothing"/>
      <w:lvlText w:val="  "/>
      <w:lvlJc w:val="left"/>
      <w:pPr>
        <w:ind w:left="-840" w:firstLine="0"/>
      </w:pPr>
      <w:rPr>
        <w:rFonts w:ascii="Times New Roman" w:hAnsi="Times New Roman" w:cs="Times New Roman" w:hint="default"/>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cap="rnd">
          <w14:noFill/>
          <w14:bevel/>
        </w14:textOutline>
      </w:rPr>
    </w:lvl>
    <w:lvl w:ilvl="4">
      <w:start w:val="1"/>
      <w:numFmt w:val="none"/>
      <w:suff w:val="nothing"/>
      <w:lvlText w:val="  "/>
      <w:lvlJc w:val="left"/>
      <w:pPr>
        <w:ind w:left="-840" w:firstLine="0"/>
      </w:pPr>
      <w:rPr>
        <w:rFonts w:ascii="Times New Roman" w:hAnsi="Times New Roman" w:cs="Times New Roman" w:hint="default"/>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cap="rnd">
          <w14:noFill/>
          <w14:bevel/>
        </w14:textOutline>
      </w:rPr>
    </w:lvl>
    <w:lvl w:ilvl="5">
      <w:start w:val="1"/>
      <w:numFmt w:val="none"/>
      <w:suff w:val="nothing"/>
      <w:lvlText w:val="  "/>
      <w:lvlJc w:val="left"/>
      <w:pPr>
        <w:ind w:left="-840" w:firstLine="0"/>
      </w:pPr>
      <w:rPr>
        <w:rFonts w:ascii="Times New Roman" w:hAnsi="Times New Roman" w:cs="Times New Roman" w:hint="default"/>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cap="rnd">
          <w14:noFill/>
          <w14:bevel/>
        </w14:textOutline>
      </w:rPr>
    </w:lvl>
    <w:lvl w:ilvl="6">
      <w:start w:val="1"/>
      <w:numFmt w:val="none"/>
      <w:suff w:val="nothing"/>
      <w:lvlText w:val="  "/>
      <w:lvlJc w:val="left"/>
      <w:pPr>
        <w:ind w:left="-840" w:firstLine="0"/>
      </w:pPr>
      <w:rPr>
        <w:rFonts w:ascii="Times New Roman" w:hAnsi="Times New Roman" w:cs="Times New Roman" w:hint="default"/>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cap="rnd">
          <w14:noFill/>
          <w14:bevel/>
        </w14:textOutline>
      </w:rPr>
    </w:lvl>
    <w:lvl w:ilvl="7">
      <w:start w:val="1"/>
      <w:numFmt w:val="none"/>
      <w:suff w:val="nothing"/>
      <w:lvlText w:val="  "/>
      <w:lvlJc w:val="left"/>
      <w:pPr>
        <w:ind w:left="-840" w:firstLine="0"/>
      </w:pPr>
      <w:rPr>
        <w:rFonts w:ascii="Times New Roman" w:hAnsi="Times New Roman" w:cs="Times New Roman" w:hint="default"/>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cap="rnd">
          <w14:noFill/>
          <w14:bevel/>
        </w14:textOutline>
      </w:rPr>
    </w:lvl>
    <w:lvl w:ilvl="8">
      <w:start w:val="1"/>
      <w:numFmt w:val="none"/>
      <w:suff w:val="nothing"/>
      <w:lvlText w:val="  "/>
      <w:lvlJc w:val="left"/>
      <w:pPr>
        <w:ind w:left="-840" w:firstLine="0"/>
      </w:pPr>
      <w:rPr>
        <w:rFonts w:ascii="Times New Roman" w:hAnsi="Times New Roman" w:cs="Times New Roman" w:hint="default"/>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cap="rnd">
          <w14:noFill/>
          <w14:bevel/>
        </w14:textOutline>
      </w:rPr>
    </w:lvl>
  </w:abstractNum>
  <w:abstractNum w:abstractNumId="18">
    <w:nsid w:val="3FB37DB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9">
    <w:nsid w:val="43E31092"/>
    <w:multiLevelType w:val="hybridMultilevel"/>
    <w:tmpl w:val="C34CD446"/>
    <w:lvl w:ilvl="0">
      <w:start w:val="1"/>
      <w:numFmt w:val="bullet"/>
      <w:pStyle w:val="arial"/>
      <w:lvlText w:val=""/>
      <w:lvlJc w:val="left"/>
      <w:pPr>
        <w:tabs>
          <w:tab w:val="num" w:pos="360"/>
        </w:tabs>
        <w:ind w:left="360" w:hanging="360"/>
      </w:pPr>
      <w:rPr>
        <w:rFonts w:ascii="Symbol" w:hAnsi="Symbol" w:hint="default"/>
      </w:rPr>
    </w:lvl>
    <w:lvl w:ilvl="1" w:tentative="1">
      <w:start w:val="1"/>
      <w:numFmt w:val="bullet"/>
      <w:lvlText w:val="o"/>
      <w:lvlJc w:val="left"/>
      <w:pPr>
        <w:tabs>
          <w:tab w:val="num" w:pos="1367"/>
        </w:tabs>
        <w:ind w:left="1367" w:hanging="360"/>
      </w:pPr>
      <w:rPr>
        <w:rFonts w:ascii="Courier New" w:hAnsi="Courier New" w:hint="default"/>
      </w:rPr>
    </w:lvl>
    <w:lvl w:ilvl="2" w:tentative="1">
      <w:start w:val="1"/>
      <w:numFmt w:val="bullet"/>
      <w:lvlText w:val=""/>
      <w:lvlJc w:val="left"/>
      <w:pPr>
        <w:tabs>
          <w:tab w:val="num" w:pos="2087"/>
        </w:tabs>
        <w:ind w:left="2087" w:hanging="360"/>
      </w:pPr>
      <w:rPr>
        <w:rFonts w:ascii="Wingdings" w:hAnsi="Wingdings" w:hint="default"/>
      </w:rPr>
    </w:lvl>
    <w:lvl w:ilvl="3" w:tentative="1">
      <w:start w:val="1"/>
      <w:numFmt w:val="bullet"/>
      <w:lvlText w:val=""/>
      <w:lvlJc w:val="left"/>
      <w:pPr>
        <w:tabs>
          <w:tab w:val="num" w:pos="2807"/>
        </w:tabs>
        <w:ind w:left="2807" w:hanging="360"/>
      </w:pPr>
      <w:rPr>
        <w:rFonts w:ascii="Symbol" w:hAnsi="Symbol" w:hint="default"/>
      </w:rPr>
    </w:lvl>
    <w:lvl w:ilvl="4" w:tentative="1">
      <w:start w:val="1"/>
      <w:numFmt w:val="bullet"/>
      <w:lvlText w:val="o"/>
      <w:lvlJc w:val="left"/>
      <w:pPr>
        <w:tabs>
          <w:tab w:val="num" w:pos="3527"/>
        </w:tabs>
        <w:ind w:left="3527" w:hanging="360"/>
      </w:pPr>
      <w:rPr>
        <w:rFonts w:ascii="Courier New" w:hAnsi="Courier New" w:hint="default"/>
      </w:rPr>
    </w:lvl>
    <w:lvl w:ilvl="5" w:tentative="1">
      <w:start w:val="1"/>
      <w:numFmt w:val="bullet"/>
      <w:lvlText w:val=""/>
      <w:lvlJc w:val="left"/>
      <w:pPr>
        <w:tabs>
          <w:tab w:val="num" w:pos="4247"/>
        </w:tabs>
        <w:ind w:left="4247" w:hanging="360"/>
      </w:pPr>
      <w:rPr>
        <w:rFonts w:ascii="Wingdings" w:hAnsi="Wingdings" w:hint="default"/>
      </w:rPr>
    </w:lvl>
    <w:lvl w:ilvl="6" w:tentative="1">
      <w:start w:val="1"/>
      <w:numFmt w:val="bullet"/>
      <w:lvlText w:val=""/>
      <w:lvlJc w:val="left"/>
      <w:pPr>
        <w:tabs>
          <w:tab w:val="num" w:pos="4967"/>
        </w:tabs>
        <w:ind w:left="4967" w:hanging="360"/>
      </w:pPr>
      <w:rPr>
        <w:rFonts w:ascii="Symbol" w:hAnsi="Symbol" w:hint="default"/>
      </w:rPr>
    </w:lvl>
    <w:lvl w:ilvl="7" w:tentative="1">
      <w:start w:val="1"/>
      <w:numFmt w:val="bullet"/>
      <w:lvlText w:val="o"/>
      <w:lvlJc w:val="left"/>
      <w:pPr>
        <w:tabs>
          <w:tab w:val="num" w:pos="5687"/>
        </w:tabs>
        <w:ind w:left="5687" w:hanging="360"/>
      </w:pPr>
      <w:rPr>
        <w:rFonts w:ascii="Courier New" w:hAnsi="Courier New" w:hint="default"/>
      </w:rPr>
    </w:lvl>
    <w:lvl w:ilvl="8" w:tentative="1">
      <w:start w:val="1"/>
      <w:numFmt w:val="bullet"/>
      <w:lvlText w:val=""/>
      <w:lvlJc w:val="left"/>
      <w:pPr>
        <w:tabs>
          <w:tab w:val="num" w:pos="6407"/>
        </w:tabs>
        <w:ind w:left="6407" w:hanging="360"/>
      </w:pPr>
      <w:rPr>
        <w:rFonts w:ascii="Wingdings" w:hAnsi="Wingdings" w:hint="default"/>
      </w:rPr>
    </w:lvl>
  </w:abstractNum>
  <w:abstractNum w:abstractNumId="20">
    <w:nsid w:val="46735E2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1">
    <w:nsid w:val="51B3193F"/>
    <w:multiLevelType w:val="hybridMultilevel"/>
    <w:tmpl w:val="81226C9C"/>
    <w:lvl w:ilvl="0">
      <w:start w:val="1"/>
      <w:numFmt w:val="bullet"/>
      <w:lvlText w:val=""/>
      <w:lvlJc w:val="left"/>
      <w:pPr>
        <w:ind w:left="810" w:hanging="360"/>
      </w:pPr>
      <w:rPr>
        <w:rFonts w:ascii="Symbol" w:hAnsi="Symbol" w:hint="default"/>
      </w:rPr>
    </w:lvl>
    <w:lvl w:ilvl="1" w:tentative="1">
      <w:start w:val="1"/>
      <w:numFmt w:val="bullet"/>
      <w:lvlText w:val="o"/>
      <w:lvlJc w:val="left"/>
      <w:pPr>
        <w:ind w:left="1530" w:hanging="360"/>
      </w:pPr>
      <w:rPr>
        <w:rFonts w:ascii="Courier New" w:hAnsi="Courier New" w:cs="Courier New" w:hint="default"/>
      </w:rPr>
    </w:lvl>
    <w:lvl w:ilvl="2" w:tentative="1">
      <w:start w:val="1"/>
      <w:numFmt w:val="bullet"/>
      <w:lvlText w:val=""/>
      <w:lvlJc w:val="left"/>
      <w:pPr>
        <w:ind w:left="2250" w:hanging="360"/>
      </w:pPr>
      <w:rPr>
        <w:rFonts w:ascii="Wingdings" w:hAnsi="Wingdings" w:hint="default"/>
      </w:rPr>
    </w:lvl>
    <w:lvl w:ilvl="3" w:tentative="1">
      <w:start w:val="1"/>
      <w:numFmt w:val="bullet"/>
      <w:lvlText w:val=""/>
      <w:lvlJc w:val="left"/>
      <w:pPr>
        <w:ind w:left="2970" w:hanging="360"/>
      </w:pPr>
      <w:rPr>
        <w:rFonts w:ascii="Symbol" w:hAnsi="Symbol" w:hint="default"/>
      </w:rPr>
    </w:lvl>
    <w:lvl w:ilvl="4" w:tentative="1">
      <w:start w:val="1"/>
      <w:numFmt w:val="bullet"/>
      <w:lvlText w:val="o"/>
      <w:lvlJc w:val="left"/>
      <w:pPr>
        <w:ind w:left="3690" w:hanging="360"/>
      </w:pPr>
      <w:rPr>
        <w:rFonts w:ascii="Courier New" w:hAnsi="Courier New" w:cs="Courier New" w:hint="default"/>
      </w:rPr>
    </w:lvl>
    <w:lvl w:ilvl="5" w:tentative="1">
      <w:start w:val="1"/>
      <w:numFmt w:val="bullet"/>
      <w:lvlText w:val=""/>
      <w:lvlJc w:val="left"/>
      <w:pPr>
        <w:ind w:left="4410" w:hanging="360"/>
      </w:pPr>
      <w:rPr>
        <w:rFonts w:ascii="Wingdings" w:hAnsi="Wingdings" w:hint="default"/>
      </w:rPr>
    </w:lvl>
    <w:lvl w:ilvl="6" w:tentative="1">
      <w:start w:val="1"/>
      <w:numFmt w:val="bullet"/>
      <w:lvlText w:val=""/>
      <w:lvlJc w:val="left"/>
      <w:pPr>
        <w:ind w:left="5130" w:hanging="360"/>
      </w:pPr>
      <w:rPr>
        <w:rFonts w:ascii="Symbol" w:hAnsi="Symbol" w:hint="default"/>
      </w:rPr>
    </w:lvl>
    <w:lvl w:ilvl="7" w:tentative="1">
      <w:start w:val="1"/>
      <w:numFmt w:val="bullet"/>
      <w:lvlText w:val="o"/>
      <w:lvlJc w:val="left"/>
      <w:pPr>
        <w:ind w:left="5850" w:hanging="360"/>
      </w:pPr>
      <w:rPr>
        <w:rFonts w:ascii="Courier New" w:hAnsi="Courier New" w:cs="Courier New" w:hint="default"/>
      </w:rPr>
    </w:lvl>
    <w:lvl w:ilvl="8" w:tentative="1">
      <w:start w:val="1"/>
      <w:numFmt w:val="bullet"/>
      <w:lvlText w:val=""/>
      <w:lvlJc w:val="left"/>
      <w:pPr>
        <w:ind w:left="6570" w:hanging="360"/>
      </w:pPr>
      <w:rPr>
        <w:rFonts w:ascii="Wingdings" w:hAnsi="Wingdings" w:hint="default"/>
      </w:rPr>
    </w:lvl>
  </w:abstractNum>
  <w:abstractNum w:abstractNumId="22">
    <w:nsid w:val="552243E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3">
    <w:nsid w:val="5BE06ED8"/>
    <w:multiLevelType w:val="hybridMultilevel"/>
    <w:tmpl w:val="2C7E5E38"/>
    <w:lvl w:ilvl="0">
      <w:start w:val="1"/>
      <w:numFmt w:val="bullet"/>
      <w:lvlText w:val=""/>
      <w:lvlJc w:val="left"/>
      <w:pPr>
        <w:ind w:left="1440" w:hanging="360"/>
      </w:pPr>
      <w:rPr>
        <w:rFonts w:ascii="Symbol" w:hAnsi="Symbol"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24">
    <w:nsid w:val="5FB74583"/>
    <w:multiLevelType w:val="hybridMultilevel"/>
    <w:tmpl w:val="100E4062"/>
    <w:lvl w:ilvl="0">
      <w:start w:val="1"/>
      <w:numFmt w:val="bullet"/>
      <w:lvlText w:val=""/>
      <w:lvlJc w:val="left"/>
      <w:pPr>
        <w:ind w:left="1440" w:hanging="360"/>
      </w:pPr>
      <w:rPr>
        <w:rFonts w:ascii="Symbol" w:hAnsi="Symbol"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25">
    <w:nsid w:val="68930D89"/>
    <w:multiLevelType w:val="hybridMultilevel"/>
    <w:tmpl w:val="F9CE2056"/>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26">
    <w:nsid w:val="6C2526C6"/>
    <w:multiLevelType w:val="hybridMultilevel"/>
    <w:tmpl w:val="71E036C8"/>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27">
    <w:nsid w:val="6C373703"/>
    <w:multiLevelType w:val="hybridMultilevel"/>
    <w:tmpl w:val="7C1261F0"/>
    <w:lvl w:ilvl="0">
      <w:start w:val="1"/>
      <w:numFmt w:val="bullet"/>
      <w:lvlText w:val=""/>
      <w:lvlJc w:val="left"/>
      <w:pPr>
        <w:ind w:left="2160" w:hanging="360"/>
      </w:pPr>
      <w:rPr>
        <w:rFonts w:ascii="Symbol" w:hAnsi="Symbol" w:hint="default"/>
      </w:rPr>
    </w:lvl>
    <w:lvl w:ilvl="1" w:tentative="1">
      <w:start w:val="1"/>
      <w:numFmt w:val="bullet"/>
      <w:lvlText w:val="o"/>
      <w:lvlJc w:val="left"/>
      <w:pPr>
        <w:ind w:left="2880" w:hanging="360"/>
      </w:pPr>
      <w:rPr>
        <w:rFonts w:ascii="Courier New" w:hAnsi="Courier New" w:cs="Courier New" w:hint="default"/>
      </w:rPr>
    </w:lvl>
    <w:lvl w:ilvl="2" w:tentative="1">
      <w:start w:val="1"/>
      <w:numFmt w:val="bullet"/>
      <w:lvlText w:val=""/>
      <w:lvlJc w:val="left"/>
      <w:pPr>
        <w:ind w:left="3600" w:hanging="360"/>
      </w:pPr>
      <w:rPr>
        <w:rFonts w:ascii="Wingdings" w:hAnsi="Wingdings" w:hint="default"/>
      </w:rPr>
    </w:lvl>
    <w:lvl w:ilvl="3" w:tentative="1">
      <w:start w:val="1"/>
      <w:numFmt w:val="bullet"/>
      <w:lvlText w:val=""/>
      <w:lvlJc w:val="left"/>
      <w:pPr>
        <w:ind w:left="4320" w:hanging="360"/>
      </w:pPr>
      <w:rPr>
        <w:rFonts w:ascii="Symbol" w:hAnsi="Symbol" w:hint="default"/>
      </w:rPr>
    </w:lvl>
    <w:lvl w:ilvl="4" w:tentative="1">
      <w:start w:val="1"/>
      <w:numFmt w:val="bullet"/>
      <w:lvlText w:val="o"/>
      <w:lvlJc w:val="left"/>
      <w:pPr>
        <w:ind w:left="5040" w:hanging="360"/>
      </w:pPr>
      <w:rPr>
        <w:rFonts w:ascii="Courier New" w:hAnsi="Courier New" w:cs="Courier New" w:hint="default"/>
      </w:rPr>
    </w:lvl>
    <w:lvl w:ilvl="5" w:tentative="1">
      <w:start w:val="1"/>
      <w:numFmt w:val="bullet"/>
      <w:lvlText w:val=""/>
      <w:lvlJc w:val="left"/>
      <w:pPr>
        <w:ind w:left="5760" w:hanging="360"/>
      </w:pPr>
      <w:rPr>
        <w:rFonts w:ascii="Wingdings" w:hAnsi="Wingdings" w:hint="default"/>
      </w:rPr>
    </w:lvl>
    <w:lvl w:ilvl="6" w:tentative="1">
      <w:start w:val="1"/>
      <w:numFmt w:val="bullet"/>
      <w:lvlText w:val=""/>
      <w:lvlJc w:val="left"/>
      <w:pPr>
        <w:ind w:left="6480" w:hanging="360"/>
      </w:pPr>
      <w:rPr>
        <w:rFonts w:ascii="Symbol" w:hAnsi="Symbol" w:hint="default"/>
      </w:rPr>
    </w:lvl>
    <w:lvl w:ilvl="7" w:tentative="1">
      <w:start w:val="1"/>
      <w:numFmt w:val="bullet"/>
      <w:lvlText w:val="o"/>
      <w:lvlJc w:val="left"/>
      <w:pPr>
        <w:ind w:left="7200" w:hanging="360"/>
      </w:pPr>
      <w:rPr>
        <w:rFonts w:ascii="Courier New" w:hAnsi="Courier New" w:cs="Courier New" w:hint="default"/>
      </w:rPr>
    </w:lvl>
    <w:lvl w:ilvl="8" w:tentative="1">
      <w:start w:val="1"/>
      <w:numFmt w:val="bullet"/>
      <w:lvlText w:val=""/>
      <w:lvlJc w:val="left"/>
      <w:pPr>
        <w:ind w:left="7920" w:hanging="360"/>
      </w:pPr>
      <w:rPr>
        <w:rFonts w:ascii="Wingdings" w:hAnsi="Wingdings" w:hint="default"/>
      </w:rPr>
    </w:lvl>
  </w:abstractNum>
  <w:abstractNum w:abstractNumId="28">
    <w:nsid w:val="6C386209"/>
    <w:multiLevelType w:val="hybridMultilevel"/>
    <w:tmpl w:val="659A1A44"/>
    <w:lvl w:ilvl="0">
      <w:start w:val="17"/>
      <w:numFmt w:val="upperLetter"/>
      <w:lvlText w:val="%1."/>
      <w:lvlJc w:val="left"/>
      <w:pPr>
        <w:tabs>
          <w:tab w:val="num" w:pos="720"/>
        </w:tabs>
        <w:ind w:left="720" w:hanging="720"/>
      </w:pPr>
      <w:rPr>
        <w:rFonts w:ascii="Arial" w:hAnsi="Arial" w:hint="default"/>
        <w:sz w:val="24"/>
        <w:szCs w:val="24"/>
      </w:rPr>
    </w:lvl>
    <w:lvl w:ilvl="1">
      <w:start w:val="1"/>
      <w:numFmt w:val="upperLetter"/>
      <w:lvlText w:val="%2."/>
      <w:lvlJc w:val="left"/>
      <w:pPr>
        <w:tabs>
          <w:tab w:val="num" w:pos="720"/>
        </w:tabs>
        <w:ind w:left="720" w:hanging="720"/>
      </w:pPr>
      <w:rPr>
        <w:rFonts w:ascii="Arial" w:hAnsi="Arial" w:hint="default"/>
        <w:sz w:val="24"/>
        <w:szCs w:val="24"/>
      </w:rPr>
    </w:lvl>
    <w:lvl w:ilvl="2">
      <w:start w:val="5"/>
      <w:numFmt w:val="upperLetter"/>
      <w:lvlText w:val="%3."/>
      <w:lvlJc w:val="left"/>
      <w:pPr>
        <w:tabs>
          <w:tab w:val="num" w:pos="1800"/>
        </w:tabs>
        <w:ind w:left="1800" w:hanging="720"/>
      </w:pPr>
      <w:rPr>
        <w:rFonts w:ascii="Arial" w:hAnsi="Arial" w:hint="default"/>
        <w:b/>
        <w:i w:val="0"/>
        <w:sz w:val="24"/>
        <w:szCs w:val="24"/>
        <w:u w:val="single"/>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9">
    <w:nsid w:val="6F044E9E"/>
    <w:multiLevelType w:val="hybridMultilevel"/>
    <w:tmpl w:val="748CA100"/>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0">
    <w:nsid w:val="6F24789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1">
    <w:nsid w:val="6F6F38A2"/>
    <w:multiLevelType w:val="hybridMultilevel"/>
    <w:tmpl w:val="964E92C6"/>
    <w:lvl w:ilvl="0">
      <w:start w:val="1"/>
      <w:numFmt w:val="bullet"/>
      <w:lvlText w:val=""/>
      <w:lvlJc w:val="left"/>
      <w:pPr>
        <w:tabs>
          <w:tab w:val="num" w:pos="1440"/>
        </w:tabs>
        <w:ind w:left="1440" w:hanging="360"/>
      </w:pPr>
      <w:rPr>
        <w:rFonts w:ascii="Symbol" w:hAnsi="Symbol" w:hint="default"/>
      </w:rPr>
    </w:lvl>
    <w:lvl w:ilvl="1" w:tentative="1">
      <w:start w:val="1"/>
      <w:numFmt w:val="bullet"/>
      <w:lvlText w:val="o"/>
      <w:lvlJc w:val="left"/>
      <w:pPr>
        <w:tabs>
          <w:tab w:val="num" w:pos="2160"/>
        </w:tabs>
        <w:ind w:left="2160" w:hanging="360"/>
      </w:pPr>
      <w:rPr>
        <w:rFonts w:ascii="Courier New" w:hAnsi="Courier New" w:cs="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cs="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cs="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32">
    <w:nsid w:val="795F12DE"/>
    <w:multiLevelType w:val="hybridMultilevel"/>
    <w:tmpl w:val="EA208B02"/>
    <w:lvl w:ilvl="0">
      <w:start w:val="1"/>
      <w:numFmt w:val="bullet"/>
      <w:lvlText w:val=""/>
      <w:lvlJc w:val="left"/>
      <w:pPr>
        <w:tabs>
          <w:tab w:val="num" w:pos="1440"/>
        </w:tabs>
        <w:ind w:left="1440" w:hanging="360"/>
      </w:pPr>
      <w:rPr>
        <w:rFonts w:ascii="Symbol" w:hAnsi="Symbol" w:hint="default"/>
      </w:rPr>
    </w:lvl>
    <w:lvl w:ilvl="1" w:tentative="1">
      <w:start w:val="1"/>
      <w:numFmt w:val="bullet"/>
      <w:lvlText w:val="o"/>
      <w:lvlJc w:val="left"/>
      <w:pPr>
        <w:tabs>
          <w:tab w:val="num" w:pos="2160"/>
        </w:tabs>
        <w:ind w:left="2160" w:hanging="360"/>
      </w:pPr>
      <w:rPr>
        <w:rFonts w:ascii="Courier New" w:hAnsi="Courier New" w:cs="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cs="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cs="Courier New" w:hint="default"/>
      </w:rPr>
    </w:lvl>
    <w:lvl w:ilvl="8" w:tentative="1">
      <w:start w:val="1"/>
      <w:numFmt w:val="bullet"/>
      <w:lvlText w:val=""/>
      <w:lvlJc w:val="left"/>
      <w:pPr>
        <w:tabs>
          <w:tab w:val="num" w:pos="7200"/>
        </w:tabs>
        <w:ind w:left="7200" w:hanging="360"/>
      </w:pPr>
      <w:rPr>
        <w:rFonts w:ascii="Wingdings" w:hAnsi="Wingdings" w:hint="default"/>
      </w:rPr>
    </w:lvl>
  </w:abstractNum>
  <w:num w:numId="1">
    <w:abstractNumId w:val="25"/>
  </w:num>
  <w:num w:numId="2">
    <w:abstractNumId w:val="28"/>
  </w:num>
  <w:num w:numId="3">
    <w:abstractNumId w:val="8"/>
  </w:num>
  <w:num w:numId="4">
    <w:abstractNumId w:val="22"/>
  </w:num>
  <w:num w:numId="5">
    <w:abstractNumId w:val="18"/>
  </w:num>
  <w:num w:numId="6">
    <w:abstractNumId w:val="5"/>
  </w:num>
  <w:num w:numId="7">
    <w:abstractNumId w:val="4"/>
  </w:num>
  <w:num w:numId="8">
    <w:abstractNumId w:val="13"/>
  </w:num>
  <w:num w:numId="9">
    <w:abstractNumId w:val="20"/>
  </w:num>
  <w:num w:numId="10">
    <w:abstractNumId w:val="30"/>
  </w:num>
  <w:num w:numId="11">
    <w:abstractNumId w:val="26"/>
  </w:num>
  <w:num w:numId="12">
    <w:abstractNumId w:val="3"/>
  </w:num>
  <w:num w:numId="13">
    <w:abstractNumId w:val="19"/>
  </w:num>
  <w:num w:numId="14">
    <w:abstractNumId w:val="6"/>
  </w:num>
  <w:num w:numId="15">
    <w:abstractNumId w:val="7"/>
  </w:num>
  <w:num w:numId="16">
    <w:abstractNumId w:val="1"/>
  </w:num>
  <w:num w:numId="17">
    <w:abstractNumId w:val="17"/>
  </w:num>
  <w:num w:numId="18">
    <w:abstractNumId w:val="2"/>
  </w:num>
  <w:num w:numId="19">
    <w:abstractNumId w:val="9"/>
  </w:num>
  <w:num w:numId="20">
    <w:abstractNumId w:val="16"/>
  </w:num>
  <w:num w:numId="21">
    <w:abstractNumId w:val="29"/>
  </w:num>
  <w:num w:numId="22">
    <w:abstractNumId w:val="32"/>
  </w:num>
  <w:num w:numId="23">
    <w:abstractNumId w:val="31"/>
  </w:num>
  <w:num w:numId="24">
    <w:abstractNumId w:val="14"/>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num>
  <w:num w:numId="27">
    <w:abstractNumId w:val="24"/>
  </w:num>
  <w:num w:numId="28">
    <w:abstractNumId w:val="15"/>
  </w:num>
  <w:num w:numId="29">
    <w:abstractNumId w:val="27"/>
  </w:num>
  <w:num w:numId="30">
    <w:abstractNumId w:val="10"/>
  </w:num>
  <w:num w:numId="31">
    <w:abstractNumId w:val="23"/>
  </w:num>
  <w:num w:numId="32">
    <w:abstractNumId w:val="8"/>
  </w:num>
  <w:num w:numId="33">
    <w:abstractNumId w:val="8"/>
  </w:num>
  <w:num w:numId="34">
    <w:abstractNumId w:val="8"/>
  </w:num>
  <w:num w:numId="35">
    <w:abstractNumId w:val="15"/>
  </w:num>
  <w:num w:numId="36">
    <w:abstractNumId w:val="11"/>
  </w:num>
  <w:num w:numId="37">
    <w:abstractNumId w:val="21"/>
  </w:num>
  <w:num w:numId="38">
    <w:abstractNumId w:val="11"/>
    <w:lvlOverride w:ilvl="0">
      <w:startOverride w:val="1"/>
    </w:lvlOverride>
    <w:lvlOverride w:ilvl="1">
      <w:startOverride w:val="2"/>
    </w:lvlOverride>
  </w:num>
  <w:num w:numId="39">
    <w:abstractNumId w:val="11"/>
    <w:lvlOverride w:ilvl="0">
      <w:startOverride w:val="1"/>
    </w:lvlOverride>
    <w:lvlOverride w:ilvl="1">
      <w:startOverride w:val="2"/>
    </w:lvlOverride>
  </w:num>
  <w:num w:numId="40">
    <w:abstractNumId w:val="11"/>
    <w:lvlOverride w:ilvl="0">
      <w:startOverride w:val="1"/>
    </w:lvlOverride>
    <w:lvlOverride w:ilvl="1">
      <w:startOverride w:val="2"/>
    </w:lvlOverride>
  </w:num>
  <w:num w:numId="41">
    <w:abstractNumId w:val="11"/>
    <w:lvlOverride w:ilvl="0">
      <w:startOverride w:val="1"/>
    </w:lvlOverride>
    <w:lvlOverride w:ilvl="1">
      <w:startOverride w:val="2"/>
    </w:lvlOverride>
  </w:num>
  <w:num w:numId="42">
    <w:abstractNumId w:val="0"/>
  </w:num>
  <w:num w:numId="43">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proofState w:spelling="clean" w:grammar="clean"/>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drawingGridHorizontalSpacing w:val="120"/>
  <w:displayHorizontalDrawingGridEvery w:val="0"/>
  <w:displayVerticalDrawingGridEvery w:val="0"/>
  <w:noPunctuationKerning/>
  <w:characterSpacingControl w:val="doNotCompress"/>
  <w:footnotePr>
    <w:footnote w:id="0"/>
    <w:footnote w:id="1"/>
  </w:foot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5FBB"/>
    <w:rsid w:val="000061DF"/>
    <w:rsid w:val="00007750"/>
    <w:rsid w:val="00025559"/>
    <w:rsid w:val="00030A84"/>
    <w:rsid w:val="00035EF2"/>
    <w:rsid w:val="00036241"/>
    <w:rsid w:val="00040B68"/>
    <w:rsid w:val="000461B5"/>
    <w:rsid w:val="00053E25"/>
    <w:rsid w:val="00054BFF"/>
    <w:rsid w:val="0006612C"/>
    <w:rsid w:val="00067F16"/>
    <w:rsid w:val="00070CCC"/>
    <w:rsid w:val="00071AC1"/>
    <w:rsid w:val="00081A56"/>
    <w:rsid w:val="00085C3A"/>
    <w:rsid w:val="00092B4B"/>
    <w:rsid w:val="000A5A63"/>
    <w:rsid w:val="000A75EE"/>
    <w:rsid w:val="000B5C29"/>
    <w:rsid w:val="000C1C07"/>
    <w:rsid w:val="000D07C5"/>
    <w:rsid w:val="000D3B87"/>
    <w:rsid w:val="000E3E2B"/>
    <w:rsid w:val="000F660C"/>
    <w:rsid w:val="000F7EE9"/>
    <w:rsid w:val="0010253C"/>
    <w:rsid w:val="001026B8"/>
    <w:rsid w:val="00103456"/>
    <w:rsid w:val="00105C03"/>
    <w:rsid w:val="00113664"/>
    <w:rsid w:val="00113AB2"/>
    <w:rsid w:val="00125013"/>
    <w:rsid w:val="00126A5E"/>
    <w:rsid w:val="001272CA"/>
    <w:rsid w:val="0013105C"/>
    <w:rsid w:val="0013276B"/>
    <w:rsid w:val="001501FB"/>
    <w:rsid w:val="001507C8"/>
    <w:rsid w:val="00164479"/>
    <w:rsid w:val="0016795F"/>
    <w:rsid w:val="00174233"/>
    <w:rsid w:val="00180324"/>
    <w:rsid w:val="0018043E"/>
    <w:rsid w:val="001846ED"/>
    <w:rsid w:val="001A0F3C"/>
    <w:rsid w:val="001A28D9"/>
    <w:rsid w:val="001A4A6F"/>
    <w:rsid w:val="001C3757"/>
    <w:rsid w:val="001D1490"/>
    <w:rsid w:val="001D6434"/>
    <w:rsid w:val="001D6FA6"/>
    <w:rsid w:val="001D7DC0"/>
    <w:rsid w:val="001E2ADC"/>
    <w:rsid w:val="001E7595"/>
    <w:rsid w:val="001F1068"/>
    <w:rsid w:val="001F11BB"/>
    <w:rsid w:val="001F21DC"/>
    <w:rsid w:val="001F4ABA"/>
    <w:rsid w:val="001F5C52"/>
    <w:rsid w:val="001F5D61"/>
    <w:rsid w:val="00203304"/>
    <w:rsid w:val="00212107"/>
    <w:rsid w:val="002138E2"/>
    <w:rsid w:val="002216BF"/>
    <w:rsid w:val="00222F8C"/>
    <w:rsid w:val="002256DD"/>
    <w:rsid w:val="00225711"/>
    <w:rsid w:val="0023123F"/>
    <w:rsid w:val="0024325D"/>
    <w:rsid w:val="00243F21"/>
    <w:rsid w:val="00250450"/>
    <w:rsid w:val="002518BF"/>
    <w:rsid w:val="00256867"/>
    <w:rsid w:val="00277DF5"/>
    <w:rsid w:val="00277F09"/>
    <w:rsid w:val="00281923"/>
    <w:rsid w:val="002A54CC"/>
    <w:rsid w:val="002B55F7"/>
    <w:rsid w:val="002D6D53"/>
    <w:rsid w:val="002E2275"/>
    <w:rsid w:val="002E4DA4"/>
    <w:rsid w:val="002F2DEB"/>
    <w:rsid w:val="002F3BAD"/>
    <w:rsid w:val="002F6822"/>
    <w:rsid w:val="0032163A"/>
    <w:rsid w:val="003316C1"/>
    <w:rsid w:val="00342022"/>
    <w:rsid w:val="00364450"/>
    <w:rsid w:val="00375C93"/>
    <w:rsid w:val="0037611B"/>
    <w:rsid w:val="00377986"/>
    <w:rsid w:val="00381245"/>
    <w:rsid w:val="00382297"/>
    <w:rsid w:val="00383764"/>
    <w:rsid w:val="0038481D"/>
    <w:rsid w:val="00392814"/>
    <w:rsid w:val="0039439B"/>
    <w:rsid w:val="003946E0"/>
    <w:rsid w:val="003B2C4E"/>
    <w:rsid w:val="003C26FA"/>
    <w:rsid w:val="003C43A2"/>
    <w:rsid w:val="003D2446"/>
    <w:rsid w:val="003D5C90"/>
    <w:rsid w:val="003E6449"/>
    <w:rsid w:val="003E6852"/>
    <w:rsid w:val="003E6ACB"/>
    <w:rsid w:val="003F11E2"/>
    <w:rsid w:val="003F3874"/>
    <w:rsid w:val="003F5E76"/>
    <w:rsid w:val="00400ADA"/>
    <w:rsid w:val="00404A4F"/>
    <w:rsid w:val="00413DD8"/>
    <w:rsid w:val="004305D5"/>
    <w:rsid w:val="00431C5C"/>
    <w:rsid w:val="00445343"/>
    <w:rsid w:val="00446C6A"/>
    <w:rsid w:val="0044757B"/>
    <w:rsid w:val="00457177"/>
    <w:rsid w:val="00460E94"/>
    <w:rsid w:val="004615D6"/>
    <w:rsid w:val="0046374F"/>
    <w:rsid w:val="00465DEE"/>
    <w:rsid w:val="00487530"/>
    <w:rsid w:val="00490124"/>
    <w:rsid w:val="00497A50"/>
    <w:rsid w:val="004B15E2"/>
    <w:rsid w:val="004C083B"/>
    <w:rsid w:val="004C6371"/>
    <w:rsid w:val="004D7117"/>
    <w:rsid w:val="004E1B7F"/>
    <w:rsid w:val="004E6093"/>
    <w:rsid w:val="004F111A"/>
    <w:rsid w:val="005361A4"/>
    <w:rsid w:val="00550458"/>
    <w:rsid w:val="00553F8C"/>
    <w:rsid w:val="00557965"/>
    <w:rsid w:val="00576B83"/>
    <w:rsid w:val="005807AC"/>
    <w:rsid w:val="005838D0"/>
    <w:rsid w:val="00585925"/>
    <w:rsid w:val="005A3BB4"/>
    <w:rsid w:val="005A5C09"/>
    <w:rsid w:val="005B4B3A"/>
    <w:rsid w:val="005C276C"/>
    <w:rsid w:val="005E0733"/>
    <w:rsid w:val="005E16F2"/>
    <w:rsid w:val="005F7983"/>
    <w:rsid w:val="0060096F"/>
    <w:rsid w:val="0060655C"/>
    <w:rsid w:val="006100B3"/>
    <w:rsid w:val="006126CE"/>
    <w:rsid w:val="00622BC8"/>
    <w:rsid w:val="00624638"/>
    <w:rsid w:val="00624D89"/>
    <w:rsid w:val="0063014D"/>
    <w:rsid w:val="006408BE"/>
    <w:rsid w:val="006466B2"/>
    <w:rsid w:val="00653717"/>
    <w:rsid w:val="00657D77"/>
    <w:rsid w:val="00661628"/>
    <w:rsid w:val="0066196A"/>
    <w:rsid w:val="006640DD"/>
    <w:rsid w:val="006659BA"/>
    <w:rsid w:val="006726BC"/>
    <w:rsid w:val="00672C4D"/>
    <w:rsid w:val="00684284"/>
    <w:rsid w:val="006843F0"/>
    <w:rsid w:val="006A041D"/>
    <w:rsid w:val="006A7560"/>
    <w:rsid w:val="006A773E"/>
    <w:rsid w:val="006B3924"/>
    <w:rsid w:val="006B3ABE"/>
    <w:rsid w:val="006B55A9"/>
    <w:rsid w:val="006B69E2"/>
    <w:rsid w:val="006C1E5F"/>
    <w:rsid w:val="006D55C1"/>
    <w:rsid w:val="006E1695"/>
    <w:rsid w:val="006E29E2"/>
    <w:rsid w:val="006E6440"/>
    <w:rsid w:val="007012FE"/>
    <w:rsid w:val="007024EC"/>
    <w:rsid w:val="00716429"/>
    <w:rsid w:val="00717258"/>
    <w:rsid w:val="00723186"/>
    <w:rsid w:val="007340B5"/>
    <w:rsid w:val="00740500"/>
    <w:rsid w:val="0074327A"/>
    <w:rsid w:val="00745010"/>
    <w:rsid w:val="007500F6"/>
    <w:rsid w:val="00752C2A"/>
    <w:rsid w:val="00760CB9"/>
    <w:rsid w:val="00762C79"/>
    <w:rsid w:val="00773DAB"/>
    <w:rsid w:val="00775D4A"/>
    <w:rsid w:val="0078496A"/>
    <w:rsid w:val="00786381"/>
    <w:rsid w:val="007876A4"/>
    <w:rsid w:val="00793CCC"/>
    <w:rsid w:val="007A0F23"/>
    <w:rsid w:val="007A192F"/>
    <w:rsid w:val="007B388C"/>
    <w:rsid w:val="007B6B99"/>
    <w:rsid w:val="007C5DB2"/>
    <w:rsid w:val="007D0DC0"/>
    <w:rsid w:val="007E40FC"/>
    <w:rsid w:val="007F5A4E"/>
    <w:rsid w:val="00820BDD"/>
    <w:rsid w:val="00823AB5"/>
    <w:rsid w:val="00823F7E"/>
    <w:rsid w:val="00825A0B"/>
    <w:rsid w:val="0082759A"/>
    <w:rsid w:val="00831863"/>
    <w:rsid w:val="00833F7A"/>
    <w:rsid w:val="00837CFD"/>
    <w:rsid w:val="00845341"/>
    <w:rsid w:val="00846E25"/>
    <w:rsid w:val="00850C84"/>
    <w:rsid w:val="00852608"/>
    <w:rsid w:val="008558F6"/>
    <w:rsid w:val="00862CF4"/>
    <w:rsid w:val="00862FE9"/>
    <w:rsid w:val="008725DB"/>
    <w:rsid w:val="00883941"/>
    <w:rsid w:val="0089158B"/>
    <w:rsid w:val="00891FDC"/>
    <w:rsid w:val="008A5AA9"/>
    <w:rsid w:val="008A7454"/>
    <w:rsid w:val="008A7C4C"/>
    <w:rsid w:val="008D1DAD"/>
    <w:rsid w:val="008D46D8"/>
    <w:rsid w:val="008E15FE"/>
    <w:rsid w:val="008E1766"/>
    <w:rsid w:val="008F34B8"/>
    <w:rsid w:val="00900E59"/>
    <w:rsid w:val="009160E2"/>
    <w:rsid w:val="00916523"/>
    <w:rsid w:val="0092043B"/>
    <w:rsid w:val="009325E9"/>
    <w:rsid w:val="00933D0E"/>
    <w:rsid w:val="00934619"/>
    <w:rsid w:val="0093567C"/>
    <w:rsid w:val="00937405"/>
    <w:rsid w:val="00943B3E"/>
    <w:rsid w:val="009511F4"/>
    <w:rsid w:val="00951704"/>
    <w:rsid w:val="009543F9"/>
    <w:rsid w:val="00962CEB"/>
    <w:rsid w:val="0096420D"/>
    <w:rsid w:val="00967848"/>
    <w:rsid w:val="00970E2B"/>
    <w:rsid w:val="009722F5"/>
    <w:rsid w:val="00976388"/>
    <w:rsid w:val="00977841"/>
    <w:rsid w:val="0099723A"/>
    <w:rsid w:val="009A1212"/>
    <w:rsid w:val="009A2F07"/>
    <w:rsid w:val="009A7669"/>
    <w:rsid w:val="009B356D"/>
    <w:rsid w:val="009C0422"/>
    <w:rsid w:val="009D20E3"/>
    <w:rsid w:val="009D6B2D"/>
    <w:rsid w:val="009F4BB9"/>
    <w:rsid w:val="009F7F9C"/>
    <w:rsid w:val="00A10203"/>
    <w:rsid w:val="00A10AFE"/>
    <w:rsid w:val="00A13231"/>
    <w:rsid w:val="00A14587"/>
    <w:rsid w:val="00A21C6A"/>
    <w:rsid w:val="00A24DDF"/>
    <w:rsid w:val="00A42CE1"/>
    <w:rsid w:val="00A4395C"/>
    <w:rsid w:val="00A556E3"/>
    <w:rsid w:val="00A66EA8"/>
    <w:rsid w:val="00A73331"/>
    <w:rsid w:val="00A76D54"/>
    <w:rsid w:val="00A77A36"/>
    <w:rsid w:val="00A9289C"/>
    <w:rsid w:val="00AA200B"/>
    <w:rsid w:val="00AA41C1"/>
    <w:rsid w:val="00AA7E28"/>
    <w:rsid w:val="00AB34E9"/>
    <w:rsid w:val="00AD2DE8"/>
    <w:rsid w:val="00AD4044"/>
    <w:rsid w:val="00AD4348"/>
    <w:rsid w:val="00AD519E"/>
    <w:rsid w:val="00AE1293"/>
    <w:rsid w:val="00AF1087"/>
    <w:rsid w:val="00AF223A"/>
    <w:rsid w:val="00AF514F"/>
    <w:rsid w:val="00B02415"/>
    <w:rsid w:val="00B05B8E"/>
    <w:rsid w:val="00B13C32"/>
    <w:rsid w:val="00B146FA"/>
    <w:rsid w:val="00B22EB5"/>
    <w:rsid w:val="00B24987"/>
    <w:rsid w:val="00B253A8"/>
    <w:rsid w:val="00B305AD"/>
    <w:rsid w:val="00B340F5"/>
    <w:rsid w:val="00B41B3F"/>
    <w:rsid w:val="00B45CA3"/>
    <w:rsid w:val="00B461D8"/>
    <w:rsid w:val="00B54F75"/>
    <w:rsid w:val="00B672B3"/>
    <w:rsid w:val="00B7062A"/>
    <w:rsid w:val="00B71DC0"/>
    <w:rsid w:val="00B72629"/>
    <w:rsid w:val="00B94370"/>
    <w:rsid w:val="00BA6E02"/>
    <w:rsid w:val="00BA7FCB"/>
    <w:rsid w:val="00BB02D6"/>
    <w:rsid w:val="00BB0435"/>
    <w:rsid w:val="00BB3279"/>
    <w:rsid w:val="00BB6A2A"/>
    <w:rsid w:val="00BC0EB1"/>
    <w:rsid w:val="00BC65D3"/>
    <w:rsid w:val="00BC6EA3"/>
    <w:rsid w:val="00BE60A0"/>
    <w:rsid w:val="00BF623B"/>
    <w:rsid w:val="00BF75C4"/>
    <w:rsid w:val="00C0126E"/>
    <w:rsid w:val="00C12718"/>
    <w:rsid w:val="00C12734"/>
    <w:rsid w:val="00C16787"/>
    <w:rsid w:val="00C2157D"/>
    <w:rsid w:val="00C229BD"/>
    <w:rsid w:val="00C302DB"/>
    <w:rsid w:val="00C55C77"/>
    <w:rsid w:val="00C612FA"/>
    <w:rsid w:val="00C70A7E"/>
    <w:rsid w:val="00C75FBE"/>
    <w:rsid w:val="00C916B5"/>
    <w:rsid w:val="00C97993"/>
    <w:rsid w:val="00CB3485"/>
    <w:rsid w:val="00CB6656"/>
    <w:rsid w:val="00CB7911"/>
    <w:rsid w:val="00CB799A"/>
    <w:rsid w:val="00CC08B4"/>
    <w:rsid w:val="00CC18C8"/>
    <w:rsid w:val="00CC51F2"/>
    <w:rsid w:val="00CC53E1"/>
    <w:rsid w:val="00CC61F9"/>
    <w:rsid w:val="00CD3062"/>
    <w:rsid w:val="00CD3D98"/>
    <w:rsid w:val="00CD75F2"/>
    <w:rsid w:val="00CE5318"/>
    <w:rsid w:val="00CE5FBB"/>
    <w:rsid w:val="00D00304"/>
    <w:rsid w:val="00D008D5"/>
    <w:rsid w:val="00D00BE0"/>
    <w:rsid w:val="00D02B8E"/>
    <w:rsid w:val="00D0589B"/>
    <w:rsid w:val="00D23178"/>
    <w:rsid w:val="00D26E61"/>
    <w:rsid w:val="00D366B8"/>
    <w:rsid w:val="00D416C4"/>
    <w:rsid w:val="00D51C36"/>
    <w:rsid w:val="00D56563"/>
    <w:rsid w:val="00D61A81"/>
    <w:rsid w:val="00D63335"/>
    <w:rsid w:val="00D70799"/>
    <w:rsid w:val="00D71772"/>
    <w:rsid w:val="00D80C86"/>
    <w:rsid w:val="00D8184B"/>
    <w:rsid w:val="00D83FF3"/>
    <w:rsid w:val="00D91B3D"/>
    <w:rsid w:val="00D952C5"/>
    <w:rsid w:val="00DA7C09"/>
    <w:rsid w:val="00DB2110"/>
    <w:rsid w:val="00DB34C1"/>
    <w:rsid w:val="00DB6806"/>
    <w:rsid w:val="00DC1564"/>
    <w:rsid w:val="00DC23F9"/>
    <w:rsid w:val="00DD1C33"/>
    <w:rsid w:val="00DD23BF"/>
    <w:rsid w:val="00DD2D29"/>
    <w:rsid w:val="00DE7729"/>
    <w:rsid w:val="00DE782A"/>
    <w:rsid w:val="00DF0474"/>
    <w:rsid w:val="00DF11BB"/>
    <w:rsid w:val="00DF5D64"/>
    <w:rsid w:val="00E01EBA"/>
    <w:rsid w:val="00E3681E"/>
    <w:rsid w:val="00E37FE7"/>
    <w:rsid w:val="00E40EFA"/>
    <w:rsid w:val="00E523A2"/>
    <w:rsid w:val="00E56287"/>
    <w:rsid w:val="00E57446"/>
    <w:rsid w:val="00E7680B"/>
    <w:rsid w:val="00E82A62"/>
    <w:rsid w:val="00E85F26"/>
    <w:rsid w:val="00E96094"/>
    <w:rsid w:val="00EA2C41"/>
    <w:rsid w:val="00EC2FD7"/>
    <w:rsid w:val="00EC3794"/>
    <w:rsid w:val="00EC5074"/>
    <w:rsid w:val="00ED095E"/>
    <w:rsid w:val="00ED3308"/>
    <w:rsid w:val="00ED6748"/>
    <w:rsid w:val="00ED765A"/>
    <w:rsid w:val="00EE24B8"/>
    <w:rsid w:val="00EF032A"/>
    <w:rsid w:val="00EF195B"/>
    <w:rsid w:val="00EF4897"/>
    <w:rsid w:val="00F01A66"/>
    <w:rsid w:val="00F020C9"/>
    <w:rsid w:val="00F06315"/>
    <w:rsid w:val="00F06864"/>
    <w:rsid w:val="00F105A7"/>
    <w:rsid w:val="00F12F5B"/>
    <w:rsid w:val="00F1526E"/>
    <w:rsid w:val="00F15E52"/>
    <w:rsid w:val="00F22CD5"/>
    <w:rsid w:val="00F23438"/>
    <w:rsid w:val="00F24F85"/>
    <w:rsid w:val="00F426FF"/>
    <w:rsid w:val="00F470EE"/>
    <w:rsid w:val="00F52D87"/>
    <w:rsid w:val="00F545DF"/>
    <w:rsid w:val="00F615CD"/>
    <w:rsid w:val="00F77F29"/>
    <w:rsid w:val="00F97AD0"/>
    <w:rsid w:val="00FA673B"/>
    <w:rsid w:val="00FB08F0"/>
    <w:rsid w:val="00FB20AC"/>
    <w:rsid w:val="00FB61A1"/>
    <w:rsid w:val="00FC2244"/>
    <w:rsid w:val="00FD5DBE"/>
    <w:rsid w:val="00FF2BBB"/>
    <w:rsid w:val="00FF69D6"/>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 w:val="24"/>
    </w:rPr>
  </w:style>
  <w:style w:type="paragraph" w:styleId="Heading1">
    <w:name w:val="heading 1"/>
    <w:basedOn w:val="Normal"/>
    <w:next w:val="BodyText"/>
    <w:link w:val="Heading1Char"/>
    <w:qFormat/>
    <w:pPr>
      <w:keepNext/>
      <w:numPr>
        <w:numId w:val="36"/>
      </w:numPr>
      <w:tabs>
        <w:tab w:val="clear" w:pos="3240"/>
      </w:tabs>
      <w:spacing w:line="360" w:lineRule="auto"/>
      <w:ind w:left="720"/>
      <w:outlineLvl w:val="0"/>
    </w:pPr>
    <w:rPr>
      <w:rFonts w:cs="Arial"/>
      <w:b/>
      <w:u w:val="single"/>
    </w:rPr>
  </w:style>
  <w:style w:type="paragraph" w:styleId="Heading2">
    <w:name w:val="heading 2"/>
    <w:basedOn w:val="Normal"/>
    <w:next w:val="BodyText"/>
    <w:qFormat/>
    <w:pPr>
      <w:keepNext/>
      <w:numPr>
        <w:ilvl w:val="1"/>
        <w:numId w:val="36"/>
      </w:numPr>
      <w:tabs>
        <w:tab w:val="clear" w:pos="360"/>
      </w:tabs>
      <w:spacing w:line="360" w:lineRule="auto"/>
      <w:ind w:left="1440"/>
      <w:outlineLvl w:val="1"/>
    </w:pPr>
    <w:rPr>
      <w:rFonts w:cs="Arial"/>
      <w:b/>
    </w:rPr>
  </w:style>
  <w:style w:type="paragraph" w:styleId="Heading3">
    <w:name w:val="heading 3"/>
    <w:basedOn w:val="Normal"/>
    <w:next w:val="BodyText"/>
    <w:qFormat/>
    <w:pPr>
      <w:numPr>
        <w:ilvl w:val="2"/>
        <w:numId w:val="36"/>
      </w:numPr>
      <w:tabs>
        <w:tab w:val="clear" w:pos="0"/>
      </w:tabs>
      <w:spacing w:after="240"/>
      <w:outlineLvl w:val="2"/>
    </w:pPr>
    <w:rPr>
      <w:rFonts w:cs="Arial"/>
      <w:b/>
    </w:rPr>
  </w:style>
  <w:style w:type="paragraph" w:styleId="Heading4">
    <w:name w:val="heading 4"/>
    <w:basedOn w:val="Normal"/>
    <w:next w:val="BodyText"/>
    <w:qFormat/>
    <w:pPr>
      <w:numPr>
        <w:ilvl w:val="3"/>
        <w:numId w:val="36"/>
      </w:numPr>
      <w:tabs>
        <w:tab w:val="clear" w:pos="0"/>
      </w:tabs>
      <w:spacing w:after="240"/>
      <w:outlineLvl w:val="3"/>
    </w:pPr>
    <w:rPr>
      <w:rFonts w:cs="Arial"/>
    </w:rPr>
  </w:style>
  <w:style w:type="paragraph" w:styleId="Heading5">
    <w:name w:val="heading 5"/>
    <w:basedOn w:val="Normal"/>
    <w:next w:val="BodyText"/>
    <w:qFormat/>
    <w:pPr>
      <w:numPr>
        <w:ilvl w:val="4"/>
        <w:numId w:val="36"/>
      </w:numPr>
      <w:tabs>
        <w:tab w:val="clear" w:pos="0"/>
      </w:tabs>
      <w:spacing w:after="240"/>
      <w:outlineLvl w:val="4"/>
    </w:pPr>
    <w:rPr>
      <w:rFonts w:cs="Arial"/>
    </w:rPr>
  </w:style>
  <w:style w:type="paragraph" w:styleId="Heading6">
    <w:name w:val="heading 6"/>
    <w:basedOn w:val="Normal"/>
    <w:next w:val="BodyText"/>
    <w:qFormat/>
    <w:pPr>
      <w:numPr>
        <w:ilvl w:val="5"/>
        <w:numId w:val="36"/>
      </w:numPr>
      <w:tabs>
        <w:tab w:val="clear" w:pos="0"/>
      </w:tabs>
      <w:spacing w:after="240"/>
      <w:outlineLvl w:val="5"/>
    </w:pPr>
    <w:rPr>
      <w:rFonts w:cs="Arial"/>
    </w:rPr>
  </w:style>
  <w:style w:type="paragraph" w:styleId="Heading7">
    <w:name w:val="heading 7"/>
    <w:basedOn w:val="Normal"/>
    <w:next w:val="BodyText"/>
    <w:qFormat/>
    <w:pPr>
      <w:numPr>
        <w:ilvl w:val="6"/>
        <w:numId w:val="36"/>
      </w:numPr>
      <w:tabs>
        <w:tab w:val="clear" w:pos="0"/>
      </w:tabs>
      <w:spacing w:after="240"/>
      <w:outlineLvl w:val="6"/>
    </w:pPr>
    <w:rPr>
      <w:rFonts w:cs="Arial"/>
    </w:rPr>
  </w:style>
  <w:style w:type="paragraph" w:styleId="Heading8">
    <w:name w:val="heading 8"/>
    <w:basedOn w:val="Normal"/>
    <w:next w:val="BodyText"/>
    <w:qFormat/>
    <w:pPr>
      <w:numPr>
        <w:ilvl w:val="7"/>
        <w:numId w:val="36"/>
      </w:numPr>
      <w:tabs>
        <w:tab w:val="clear" w:pos="0"/>
      </w:tabs>
      <w:spacing w:after="240"/>
      <w:outlineLvl w:val="7"/>
    </w:pPr>
    <w:rPr>
      <w:rFonts w:cs="Arial"/>
    </w:rPr>
  </w:style>
  <w:style w:type="paragraph" w:styleId="Heading9">
    <w:name w:val="heading 9"/>
    <w:basedOn w:val="Normal"/>
    <w:next w:val="BodyText"/>
    <w:qFormat/>
    <w:pPr>
      <w:numPr>
        <w:ilvl w:val="8"/>
        <w:numId w:val="36"/>
      </w:numPr>
      <w:tabs>
        <w:tab w:val="clear" w:pos="0"/>
      </w:tabs>
      <w:spacing w:after="240"/>
      <w:outlineLvl w:val="8"/>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LineNumber">
    <w:name w:val="line number"/>
    <w:rPr>
      <w:rFonts w:ascii="Arial" w:hAnsi="Arial"/>
      <w:sz w:val="24"/>
    </w:rPr>
  </w:style>
  <w:style w:type="character" w:customStyle="1" w:styleId="Level1">
    <w:name w:val="Level 1"/>
    <w:rPr>
      <w:rFonts w:ascii="Arial" w:hAnsi="Arial"/>
      <w:sz w:val="24"/>
    </w:rPr>
  </w:style>
  <w:style w:type="character" w:styleId="PageNumber">
    <w:name w:val="page number"/>
    <w:basedOn w:val="DefaultParagraphFont"/>
  </w:style>
  <w:style w:type="paragraph" w:styleId="BodyTextIndent">
    <w:name w:val="Body Text Indent"/>
    <w:basedOn w:val="Normal"/>
    <w:link w:val="BodyTextIndentChar"/>
    <w:pPr>
      <w:spacing w:line="360" w:lineRule="auto"/>
      <w:ind w:left="720" w:hanging="720"/>
      <w:jc w:val="both"/>
    </w:pPr>
  </w:style>
  <w:style w:type="character" w:customStyle="1" w:styleId="1">
    <w:name w:val="1"/>
    <w:rPr>
      <w:rFonts w:ascii="Arial" w:hAnsi="Arial"/>
      <w:sz w:val="24"/>
    </w:rPr>
  </w:style>
  <w:style w:type="character" w:customStyle="1" w:styleId="QuickA">
    <w:name w:val="Quick A."/>
    <w:rPr>
      <w:rFonts w:ascii="Arial" w:hAnsi="Arial"/>
      <w:sz w:val="24"/>
    </w:rPr>
  </w:style>
  <w:style w:type="paragraph" w:styleId="BodyText">
    <w:name w:val="Body Text"/>
    <w:basedOn w:val="Normal"/>
    <w:link w:val="BodyTextChar"/>
    <w:pPr>
      <w:spacing w:line="360" w:lineRule="auto"/>
      <w:ind w:left="720" w:hanging="720"/>
      <w:jc w:val="both"/>
    </w:pPr>
  </w:style>
  <w:style w:type="paragraph" w:styleId="BodyTextIndent2">
    <w:name w:val="Body Text Indent 2"/>
    <w:basedOn w:val="Normal"/>
    <w:link w:val="BodyTextIndent2Char1"/>
    <w:pPr>
      <w:spacing w:line="360" w:lineRule="auto"/>
      <w:ind w:left="720" w:firstLine="720"/>
    </w:pPr>
  </w:style>
  <w:style w:type="paragraph" w:styleId="BodyTextIndent3">
    <w:name w:val="Body Text Indent 3"/>
    <w:basedOn w:val="Normal"/>
    <w:link w:val="BodyTextIndent3Char"/>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line="360" w:lineRule="atLeast"/>
      <w:ind w:left="720" w:hanging="630"/>
      <w:jc w:val="both"/>
    </w:pPr>
  </w:style>
  <w:style w:type="paragraph" w:styleId="BodyText2">
    <w:name w:val="Body Text 2"/>
    <w:basedOn w:val="Normal"/>
    <w:rPr>
      <w:snapToGrid w:val="0"/>
      <w:color w:val="000000"/>
    </w:rPr>
  </w:style>
  <w:style w:type="paragraph" w:styleId="BlockText">
    <w:name w:val="Block Text"/>
    <w:basedOn w:val="Normal"/>
    <w:pPr>
      <w:spacing w:line="360" w:lineRule="auto"/>
      <w:ind w:left="1440" w:right="720" w:firstLine="720"/>
      <w:jc w:val="both"/>
    </w:pPr>
  </w:style>
  <w:style w:type="paragraph" w:styleId="Title">
    <w:name w:val="Title"/>
    <w:basedOn w:val="Normal"/>
    <w:qFormat/>
    <w:pPr>
      <w:spacing w:line="360" w:lineRule="auto"/>
      <w:jc w:val="center"/>
    </w:pPr>
    <w:rPr>
      <w:b/>
    </w:rPr>
  </w:style>
  <w:style w:type="character" w:customStyle="1" w:styleId="BodyTextIndent2Char">
    <w:name w:val="Body Text Indent 2 Char"/>
    <w:rPr>
      <w:rFonts w:ascii="Arial" w:hAnsi="Arial"/>
      <w:sz w:val="24"/>
      <w:lang w:val="en-US" w:eastAsia="en-US" w:bidi="ar-SA"/>
    </w:rPr>
  </w:style>
  <w:style w:type="paragraph" w:styleId="BalloonText">
    <w:name w:val="Balloon Text"/>
    <w:basedOn w:val="Normal"/>
    <w:semiHidden/>
    <w:rPr>
      <w:rFonts w:ascii="Tahoma" w:hAnsi="Tahoma" w:cs="Tahoma"/>
      <w:sz w:val="16"/>
      <w:szCs w:val="16"/>
    </w:rPr>
  </w:style>
  <w:style w:type="paragraph" w:styleId="BodyText3">
    <w:name w:val="Body Text 3"/>
    <w:basedOn w:val="Normal"/>
    <w:pPr>
      <w:spacing w:after="120"/>
    </w:pPr>
    <w:rPr>
      <w:sz w:val="16"/>
      <w:szCs w:val="16"/>
    </w:rPr>
  </w:style>
  <w:style w:type="paragraph" w:styleId="TOC1">
    <w:name w:val="toc 1"/>
    <w:basedOn w:val="Normal"/>
    <w:next w:val="Normal"/>
    <w:autoRedefine/>
    <w:uiPriority w:val="39"/>
    <w:pPr>
      <w:widowControl w:val="0"/>
      <w:tabs>
        <w:tab w:val="left" w:pos="1080"/>
        <w:tab w:val="right" w:leader="dot" w:pos="8640"/>
        <w:tab w:val="right" w:leader="dot" w:pos="9360"/>
      </w:tabs>
      <w:spacing w:line="360" w:lineRule="auto"/>
      <w:ind w:left="720" w:right="720" w:hanging="720"/>
      <w:jc w:val="both"/>
    </w:pPr>
    <w:rPr>
      <w:rFonts w:cs="Arial"/>
    </w:rPr>
  </w:style>
  <w:style w:type="character" w:customStyle="1" w:styleId="CharChar">
    <w:name w:val="Char Char"/>
    <w:rPr>
      <w:rFonts w:ascii="Arial" w:hAnsi="Arial"/>
      <w:sz w:val="24"/>
      <w:lang w:val="en-US" w:eastAsia="en-US" w:bidi="ar-SA"/>
    </w:rPr>
  </w:style>
  <w:style w:type="paragraph" w:styleId="NormalWeb">
    <w:name w:val="Normal (Web)"/>
    <w:basedOn w:val="Normal"/>
    <w:pPr>
      <w:spacing w:before="100" w:beforeAutospacing="1" w:after="100" w:afterAutospacing="1"/>
    </w:pPr>
    <w:rPr>
      <w:szCs w:val="24"/>
    </w:rPr>
  </w:style>
  <w:style w:type="character" w:customStyle="1" w:styleId="EmailStyle35">
    <w:name w:val="EmailStyle35"/>
    <w:semiHidden/>
    <w:rPr>
      <w:rFonts w:ascii="Times New Roman" w:hAnsi="Times New Roman" w:cs="Arial" w:hint="default"/>
      <w:color w:val="auto"/>
      <w:sz w:val="24"/>
      <w:szCs w:val="24"/>
    </w:rPr>
  </w:style>
  <w:style w:type="paragraph" w:styleId="DocumentMap">
    <w:name w:val="Document Map"/>
    <w:basedOn w:val="Normal"/>
    <w:semiHidden/>
    <w:pPr>
      <w:shd w:val="clear" w:color="auto" w:fill="000080"/>
    </w:pPr>
    <w:rPr>
      <w:rFonts w:ascii="Tahoma" w:hAnsi="Tahoma" w:cs="Tahoma"/>
    </w:rPr>
  </w:style>
  <w:style w:type="character" w:styleId="CommentReference">
    <w:name w:val="annotation reference"/>
    <w:semiHidden/>
    <w:rPr>
      <w:sz w:val="16"/>
      <w:szCs w:val="16"/>
    </w:rPr>
  </w:style>
  <w:style w:type="paragraph" w:styleId="CommentText">
    <w:name w:val="annotation text"/>
    <w:basedOn w:val="Normal"/>
    <w:semiHidden/>
    <w:rPr>
      <w:sz w:val="20"/>
    </w:rPr>
  </w:style>
  <w:style w:type="paragraph" w:styleId="CommentSubject">
    <w:name w:val="annotation subject"/>
    <w:basedOn w:val="CommentText"/>
    <w:next w:val="CommentText"/>
    <w:semiHidden/>
    <w:rPr>
      <w:b/>
      <w:bCs/>
    </w:rPr>
  </w:style>
  <w:style w:type="paragraph" w:styleId="FootnoteText">
    <w:name w:val="footnote text"/>
    <w:basedOn w:val="Normal"/>
    <w:semiHidden/>
    <w:rPr>
      <w:sz w:val="20"/>
    </w:rPr>
  </w:style>
  <w:style w:type="paragraph" w:styleId="EndnoteText">
    <w:name w:val="endnote text"/>
    <w:basedOn w:val="Normal"/>
    <w:semiHidden/>
    <w:rPr>
      <w:sz w:val="20"/>
    </w:rPr>
  </w:style>
  <w:style w:type="paragraph" w:styleId="BodyTextFirstIndent2">
    <w:name w:val="Body Text First Indent 2"/>
    <w:basedOn w:val="BodyTextIndent"/>
    <w:pPr>
      <w:spacing w:after="120" w:line="240" w:lineRule="auto"/>
      <w:ind w:left="360" w:firstLine="210"/>
      <w:jc w:val="left"/>
    </w:pPr>
  </w:style>
  <w:style w:type="character" w:customStyle="1" w:styleId="BodyTextIndent3Char">
    <w:name w:val="Body Text Indent 3 Char"/>
    <w:link w:val="BodyTextIndent3"/>
    <w:rPr>
      <w:rFonts w:ascii="Arial" w:hAnsi="Arial"/>
      <w:sz w:val="24"/>
      <w:lang w:val="en-US" w:eastAsia="en-US" w:bidi="ar-SA"/>
    </w:rPr>
  </w:style>
  <w:style w:type="paragraph" w:customStyle="1" w:styleId="BodyTxtInd315">
    <w:name w:val="Body Txt Ind 3 1.5"/>
    <w:basedOn w:val="BodyTextIndent3"/>
    <w:link w:val="BodyTxtInd315Char"/>
    <w:pPr>
      <w:spacing w:line="360" w:lineRule="auto"/>
    </w:pPr>
  </w:style>
  <w:style w:type="character" w:customStyle="1" w:styleId="BodyTxtInd315Char">
    <w:name w:val="Body Txt Ind 3 1.5 Char"/>
    <w:link w:val="BodyTxtInd315"/>
    <w:rPr>
      <w:rFonts w:ascii="Arial" w:hAnsi="Arial"/>
      <w:sz w:val="24"/>
      <w:lang w:val="en-US" w:eastAsia="en-US" w:bidi="ar-SA"/>
    </w:rPr>
  </w:style>
  <w:style w:type="character" w:customStyle="1" w:styleId="BodyTextIndent2Char1">
    <w:name w:val="Body Text Indent 2 Char1"/>
    <w:link w:val="BodyTextIndent2"/>
    <w:rPr>
      <w:rFonts w:ascii="Arial" w:hAnsi="Arial"/>
      <w:sz w:val="24"/>
      <w:lang w:val="en-US" w:eastAsia="en-US" w:bidi="ar-SA"/>
    </w:rPr>
  </w:style>
  <w:style w:type="paragraph" w:styleId="TOC2">
    <w:name w:val="toc 2"/>
    <w:basedOn w:val="Normal"/>
    <w:next w:val="Normal"/>
    <w:autoRedefine/>
    <w:uiPriority w:val="39"/>
    <w:pPr>
      <w:tabs>
        <w:tab w:val="right" w:leader="dot" w:pos="8640"/>
        <w:tab w:val="right" w:leader="dot" w:pos="9360"/>
      </w:tabs>
      <w:spacing w:line="360" w:lineRule="auto"/>
      <w:ind w:left="1440" w:right="720" w:hanging="720"/>
    </w:pPr>
    <w:rPr>
      <w:rFonts w:cs="Arial"/>
    </w:rPr>
  </w:style>
  <w:style w:type="paragraph" w:styleId="TOC3">
    <w:name w:val="toc 3"/>
    <w:basedOn w:val="Normal"/>
    <w:next w:val="Normal"/>
    <w:autoRedefine/>
    <w:semiHidden/>
    <w:pPr>
      <w:tabs>
        <w:tab w:val="left" w:pos="720"/>
        <w:tab w:val="right" w:leader="dot" w:pos="8640"/>
        <w:tab w:val="right" w:leader="dot" w:pos="9360"/>
      </w:tabs>
      <w:spacing w:line="360" w:lineRule="auto"/>
      <w:ind w:left="2160" w:hanging="720"/>
    </w:pPr>
    <w:rPr>
      <w:rFonts w:cs="Arial"/>
    </w:rPr>
  </w:style>
  <w:style w:type="paragraph" w:styleId="TOC4">
    <w:name w:val="toc 4"/>
    <w:basedOn w:val="Normal"/>
    <w:next w:val="Normal"/>
    <w:autoRedefine/>
    <w:semiHidden/>
    <w:pPr>
      <w:tabs>
        <w:tab w:val="right" w:leader="dot" w:pos="8640"/>
        <w:tab w:val="right" w:leader="dot" w:pos="9360"/>
      </w:tabs>
      <w:ind w:left="720"/>
    </w:pPr>
    <w:rPr>
      <w:rFonts w:cs="Arial"/>
    </w:rPr>
  </w:style>
  <w:style w:type="paragraph" w:styleId="TOC5">
    <w:name w:val="toc 5"/>
    <w:basedOn w:val="Normal"/>
    <w:next w:val="Normal"/>
    <w:autoRedefine/>
    <w:semiHidden/>
    <w:pPr>
      <w:tabs>
        <w:tab w:val="right" w:leader="dot" w:pos="8640"/>
        <w:tab w:val="right" w:leader="dot" w:pos="9360"/>
      </w:tabs>
      <w:ind w:left="960"/>
    </w:pPr>
    <w:rPr>
      <w:rFonts w:cs="Arial"/>
    </w:rPr>
  </w:style>
  <w:style w:type="paragraph" w:styleId="TOC6">
    <w:name w:val="toc 6"/>
    <w:basedOn w:val="Normal"/>
    <w:next w:val="Normal"/>
    <w:autoRedefine/>
    <w:semiHidden/>
    <w:pPr>
      <w:tabs>
        <w:tab w:val="right" w:leader="dot" w:pos="8640"/>
        <w:tab w:val="right" w:leader="dot" w:pos="9360"/>
      </w:tabs>
      <w:ind w:left="1200"/>
    </w:pPr>
    <w:rPr>
      <w:rFonts w:cs="Arial"/>
    </w:rPr>
  </w:style>
  <w:style w:type="paragraph" w:styleId="TOC7">
    <w:name w:val="toc 7"/>
    <w:basedOn w:val="Normal"/>
    <w:next w:val="Normal"/>
    <w:autoRedefine/>
    <w:semiHidden/>
    <w:pPr>
      <w:tabs>
        <w:tab w:val="right" w:leader="dot" w:pos="8640"/>
        <w:tab w:val="right" w:leader="dot" w:pos="9360"/>
      </w:tabs>
      <w:ind w:left="1440"/>
    </w:pPr>
    <w:rPr>
      <w:rFonts w:cs="Arial"/>
    </w:rPr>
  </w:style>
  <w:style w:type="paragraph" w:styleId="TOC8">
    <w:name w:val="toc 8"/>
    <w:basedOn w:val="Normal"/>
    <w:next w:val="Normal"/>
    <w:autoRedefine/>
    <w:semiHidden/>
    <w:pPr>
      <w:tabs>
        <w:tab w:val="right" w:leader="dot" w:pos="8640"/>
        <w:tab w:val="right" w:leader="dot" w:pos="9360"/>
      </w:tabs>
      <w:ind w:left="1680"/>
    </w:pPr>
    <w:rPr>
      <w:rFonts w:cs="Arial"/>
    </w:rPr>
  </w:style>
  <w:style w:type="paragraph" w:styleId="TOC9">
    <w:name w:val="toc 9"/>
    <w:basedOn w:val="Normal"/>
    <w:next w:val="Normal"/>
    <w:autoRedefine/>
    <w:semiHidden/>
    <w:pPr>
      <w:tabs>
        <w:tab w:val="right" w:leader="dot" w:pos="8640"/>
        <w:tab w:val="right" w:leader="dot" w:pos="9360"/>
      </w:tabs>
      <w:ind w:left="1920"/>
    </w:pPr>
    <w:rPr>
      <w:rFonts w:cs="Arial"/>
    </w:rPr>
  </w:style>
  <w:style w:type="paragraph" w:customStyle="1" w:styleId="Ind1">
    <w:name w:val="Ind1"/>
    <w:basedOn w:val="Normal"/>
    <w:pPr>
      <w:ind w:firstLine="576"/>
      <w:jc w:val="both"/>
    </w:pPr>
    <w:rPr>
      <w:rFonts w:ascii="Times New Roman" w:hAnsi="Times New Roman"/>
      <w:sz w:val="20"/>
    </w:rPr>
  </w:style>
  <w:style w:type="paragraph" w:customStyle="1" w:styleId="bodytxtind3150">
    <w:name w:val="bodytxtind315"/>
    <w:basedOn w:val="Normal"/>
    <w:pPr>
      <w:spacing w:before="100" w:beforeAutospacing="1" w:after="100" w:afterAutospacing="1"/>
    </w:pPr>
    <w:rPr>
      <w:rFonts w:ascii="Times New Roman" w:hAnsi="Times New Roman"/>
      <w:szCs w:val="24"/>
    </w:rPr>
  </w:style>
  <w:style w:type="paragraph" w:customStyle="1" w:styleId="ccbccinits">
    <w:name w:val="cc/bcc/inits"/>
    <w:basedOn w:val="Normal"/>
    <w:pPr>
      <w:ind w:left="720" w:hanging="720"/>
    </w:pPr>
    <w:rPr>
      <w:szCs w:val="24"/>
    </w:rPr>
  </w:style>
  <w:style w:type="table" w:styleId="TableGrid">
    <w:name w:val="Table Grid"/>
    <w:basedOn w:val="TableNormal"/>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Pr>
      <w:vertAlign w:val="superscript"/>
    </w:rPr>
  </w:style>
  <w:style w:type="character" w:styleId="Strong">
    <w:name w:val="Strong"/>
    <w:qFormat/>
    <w:rPr>
      <w:b/>
      <w:bCs/>
    </w:rPr>
  </w:style>
  <w:style w:type="paragraph" w:customStyle="1" w:styleId="arial">
    <w:name w:val="arial"/>
    <w:basedOn w:val="Normal"/>
    <w:pPr>
      <w:numPr>
        <w:numId w:val="13"/>
      </w:numPr>
    </w:pPr>
    <w:rPr>
      <w:sz w:val="22"/>
    </w:rPr>
  </w:style>
  <w:style w:type="character" w:customStyle="1" w:styleId="copymain1">
    <w:name w:val="copymain1"/>
    <w:rPr>
      <w:rFonts w:ascii="Verdana" w:hAnsi="Verdana" w:hint="default"/>
      <w:b w:val="0"/>
      <w:bCs w:val="0"/>
      <w:color w:val="003366"/>
      <w:sz w:val="18"/>
      <w:szCs w:val="18"/>
    </w:rPr>
  </w:style>
  <w:style w:type="character" w:styleId="Hyperlink">
    <w:name w:val="Hyperlink"/>
    <w:uiPriority w:val="99"/>
    <w:rPr>
      <w:color w:val="0000FF"/>
      <w:u w:val="single"/>
    </w:rPr>
  </w:style>
  <w:style w:type="paragraph" w:styleId="TOCHeading">
    <w:name w:val="TOC Heading"/>
    <w:basedOn w:val="Heading1"/>
    <w:next w:val="Normal"/>
    <w:uiPriority w:val="39"/>
    <w:semiHidden/>
    <w:unhideWhenUsed/>
    <w:qFormat/>
    <w:pPr>
      <w:keepLines/>
      <w:spacing w:before="480" w:line="276" w:lineRule="auto"/>
      <w:outlineLvl w:val="9"/>
    </w:pPr>
    <w:rPr>
      <w:rFonts w:ascii="Cambria" w:eastAsia="MS Gothic" w:hAnsi="Cambria" w:cs="Times New Roman"/>
      <w:bCs/>
      <w:color w:val="365F91"/>
      <w:sz w:val="28"/>
      <w:szCs w:val="28"/>
      <w:u w:val="none"/>
      <w:lang w:eastAsia="ja-JP"/>
    </w:rPr>
  </w:style>
  <w:style w:type="character" w:customStyle="1" w:styleId="HeaderChar">
    <w:name w:val="Header Char"/>
    <w:link w:val="Header"/>
    <w:uiPriority w:val="99"/>
    <w:rPr>
      <w:rFonts w:ascii="Arial" w:hAnsi="Arial"/>
      <w:sz w:val="24"/>
    </w:rPr>
  </w:style>
  <w:style w:type="character" w:customStyle="1" w:styleId="Heading1Char">
    <w:name w:val="Heading 1 Char"/>
    <w:link w:val="Heading1"/>
    <w:rPr>
      <w:rFonts w:ascii="Arial" w:hAnsi="Arial" w:cs="Arial"/>
      <w:b/>
      <w:sz w:val="24"/>
      <w:u w:val="single"/>
    </w:rPr>
  </w:style>
  <w:style w:type="character" w:customStyle="1" w:styleId="BodyTextChar">
    <w:name w:val="Body Text Char"/>
    <w:link w:val="BodyText"/>
    <w:rPr>
      <w:rFonts w:ascii="Arial" w:hAnsi="Arial"/>
      <w:sz w:val="24"/>
    </w:rPr>
  </w:style>
  <w:style w:type="character" w:customStyle="1" w:styleId="BodyTextIndentChar">
    <w:name w:val="Body Text Indent Char"/>
    <w:link w:val="BodyTextIndent"/>
    <w:rPr>
      <w:rFonts w:ascii="Arial" w:hAnsi="Arial"/>
      <w:sz w:val="24"/>
    </w:rPr>
  </w:style>
  <w:style w:type="paragraph" w:customStyle="1" w:styleId="Bty">
    <w:name w:val="Bty"/>
    <w:basedOn w:val="Normal"/>
    <w:pPr>
      <w:ind w:hanging="720"/>
    </w:pPr>
    <w:rPr>
      <w:b/>
    </w:rPr>
  </w:style>
  <w:style w:type="paragraph" w:customStyle="1" w:styleId="NormalBold">
    <w:name w:val="Normal Bold"/>
    <w:basedOn w:val="Normal"/>
    <w:rsid w:val="00113AB2"/>
    <w:rPr>
      <w:rFonts w:ascii="Times New Roman" w:hAnsi="Times New Roman"/>
      <w:b/>
      <w:szCs w:val="24"/>
    </w:rPr>
  </w:style>
  <w:style w:type="paragraph" w:styleId="Revision">
    <w:name w:val="Revision"/>
    <w:hidden/>
    <w:uiPriority w:val="99"/>
    <w:semiHidden/>
    <w:rsid w:val="00937405"/>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footer" Target="footer6.xml" /><Relationship Id="rId11" Type="http://schemas.openxmlformats.org/officeDocument/2006/relationships/footer" Target="footer7.xml" /><Relationship Id="rId12" Type="http://schemas.openxmlformats.org/officeDocument/2006/relationships/footer" Target="footer8.xml" /><Relationship Id="rId13" Type="http://schemas.openxmlformats.org/officeDocument/2006/relationships/theme" Target="theme/theme1.xml" /><Relationship Id="rId14" Type="http://schemas.openxmlformats.org/officeDocument/2006/relationships/numbering" Target="numbering.xml" /><Relationship Id="rId15"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footer" Target="footer1.xml" /><Relationship Id="rId6" Type="http://schemas.openxmlformats.org/officeDocument/2006/relationships/footer" Target="footer2.xml" /><Relationship Id="rId7" Type="http://schemas.openxmlformats.org/officeDocument/2006/relationships/footer" Target="footer3.xml" /><Relationship Id="rId8" Type="http://schemas.openxmlformats.org/officeDocument/2006/relationships/footer" Target="footer4.xml" /><Relationship Id="rId9" Type="http://schemas.openxmlformats.org/officeDocument/2006/relationships/footer" Target="footer5.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23</Pages>
  <Words>5892</Words>
  <Characters>33550</Characters>
  <Application>Microsoft Office Word</Application>
  <DocSecurity>0</DocSecurity>
  <Lines>282</Lines>
  <Paragraphs>136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MAIL_OWNER_ADDRESS">
    <vt:lpwstr>sAAAGYoQX4c3X/JRnP5xqexAmmVbBFtdl+u3RN1JY2hcNGY=</vt:lpwstr>
  </property>
  <property fmtid="{D5CDD505-2E9C-101B-9397-08002B2CF9AE}" pid="3" name="MAIL_MSG_ID1">
    <vt:lpwstr>oFAAc7krgLHoShXozSEyxQD/gS89n0OlxqnyWIN6kEPuH7xqQM4LyhvPdUj7I8Pg8dt/mv7CvGCfT6rX_x000D_
GU4YIFtrjxwd6//NndR4Y1kR4Jx7jOz4EQ3F6fZ1hWpcH/7IZKh3enahZACRtkCe3bKW3gxsVzmj_x000D_
jeTv6bC2MdQtOlegb19dIvnyEK/X0tWZS4SFeUMiVV31gxUiyrnDsA22yMiWl0m77kwes4zRec3O_x000D_
A6qY04roXK5V42t97</vt:lpwstr>
  </property>
  <property fmtid="{D5CDD505-2E9C-101B-9397-08002B2CF9AE}" pid="4" name="MAIL_MSG_ID2">
    <vt:lpwstr>FshqOvRmyuS8ThAlcG0rdmusNFnvNp55EN9hwihAOyFWsuU2o5lKlo5uv6Q_x000D_
K/qvZQ8Igi8UZVyCziIjxIzOtVZmFWUcRExhit2dbZnvK8s3</vt:lpwstr>
  </property>
  <property fmtid="{D5CDD505-2E9C-101B-9397-08002B2CF9AE}" pid="5" name="RESPONSE_SENDER_NAME">
    <vt:lpwstr>4AAAUmLmXdMZevTb2RRepO0/Gqw/1yWkNpfZRTa7KR3ZCoscHEJpbnv7QQ==</vt:lpwstr>
  </property>
  <property fmtid="{D5CDD505-2E9C-101B-9397-08002B2CF9AE}" pid="6" name="SWDocID">
    <vt:lpwstr>US 2699137v.1</vt:lpwstr>
  </property>
  <property fmtid="{D5CDD505-2E9C-101B-9397-08002B2CF9AE}" pid="7" name="WS_TRACKING_ID">
    <vt:lpwstr>81d2195c-9344-4ed1-a842-ea1b552e93a4</vt:lpwstr>
  </property>
</Properties>
</file>